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3953" w:rsidRPr="00CA3953" w:rsidRDefault="00CA3953" w:rsidP="00B1797A">
      <w:pPr>
        <w:jc w:val="center"/>
        <w:rPr>
          <w:sz w:val="28"/>
          <w:szCs w:val="28"/>
        </w:rPr>
      </w:pPr>
      <w:r w:rsidRPr="00CA3953">
        <w:rPr>
          <w:sz w:val="28"/>
          <w:szCs w:val="28"/>
          <w:lang w:val="en-IE"/>
        </w:rPr>
        <w:t xml:space="preserve">Quantifying the </w:t>
      </w:r>
      <w:r w:rsidR="00167A90">
        <w:rPr>
          <w:sz w:val="28"/>
          <w:szCs w:val="28"/>
          <w:lang w:val="en-IE"/>
        </w:rPr>
        <w:t>N</w:t>
      </w:r>
      <w:r w:rsidRPr="00CA3953">
        <w:rPr>
          <w:sz w:val="28"/>
          <w:szCs w:val="28"/>
          <w:lang w:val="en-IE"/>
        </w:rPr>
        <w:t xml:space="preserve">utrient Flux </w:t>
      </w:r>
      <w:r w:rsidR="00406787">
        <w:rPr>
          <w:sz w:val="28"/>
          <w:szCs w:val="28"/>
          <w:lang w:val="en-IE"/>
        </w:rPr>
        <w:t>w</w:t>
      </w:r>
      <w:r w:rsidRPr="00CA3953">
        <w:rPr>
          <w:sz w:val="28"/>
          <w:szCs w:val="28"/>
          <w:lang w:val="en-IE"/>
        </w:rPr>
        <w:t xml:space="preserve">ithin a </w:t>
      </w:r>
      <w:r w:rsidR="00167A90">
        <w:rPr>
          <w:sz w:val="28"/>
          <w:szCs w:val="28"/>
          <w:lang w:val="en-IE"/>
        </w:rPr>
        <w:t>L</w:t>
      </w:r>
      <w:r w:rsidRPr="00CA3953">
        <w:rPr>
          <w:sz w:val="28"/>
          <w:szCs w:val="28"/>
          <w:lang w:val="en-IE"/>
        </w:rPr>
        <w:t xml:space="preserve">owland </w:t>
      </w:r>
      <w:r w:rsidR="00167A90">
        <w:rPr>
          <w:sz w:val="28"/>
          <w:szCs w:val="28"/>
          <w:lang w:val="en-IE"/>
        </w:rPr>
        <w:t>K</w:t>
      </w:r>
      <w:r w:rsidRPr="00CA3953">
        <w:rPr>
          <w:sz w:val="28"/>
          <w:szCs w:val="28"/>
          <w:lang w:val="en-IE"/>
        </w:rPr>
        <w:t xml:space="preserve">arstic </w:t>
      </w:r>
      <w:r w:rsidR="00167A90">
        <w:rPr>
          <w:sz w:val="28"/>
          <w:szCs w:val="28"/>
          <w:lang w:val="en-IE"/>
        </w:rPr>
        <w:t>C</w:t>
      </w:r>
      <w:r w:rsidRPr="00CA3953">
        <w:rPr>
          <w:sz w:val="28"/>
          <w:szCs w:val="28"/>
          <w:lang w:val="en-IE"/>
        </w:rPr>
        <w:t>atchment</w:t>
      </w:r>
    </w:p>
    <w:p w:rsidR="00CA3953" w:rsidRPr="00EC63E1" w:rsidRDefault="00CA3953" w:rsidP="00B1797A">
      <w:pPr>
        <w:jc w:val="center"/>
        <w:rPr>
          <w:lang w:val="en-IE"/>
        </w:rPr>
      </w:pPr>
    </w:p>
    <w:p w:rsidR="00C078A0" w:rsidRPr="00EC63E1" w:rsidRDefault="00C078A0" w:rsidP="00C078A0">
      <w:pPr>
        <w:jc w:val="center"/>
        <w:rPr>
          <w:lang w:val="en-IE"/>
        </w:rPr>
      </w:pPr>
      <w:proofErr w:type="gramStart"/>
      <w:r w:rsidRPr="00EC63E1">
        <w:rPr>
          <w:lang w:val="en-IE"/>
        </w:rPr>
        <w:t>McCormack</w:t>
      </w:r>
      <w:r>
        <w:rPr>
          <w:lang w:val="en-IE"/>
        </w:rPr>
        <w:t>,</w:t>
      </w:r>
      <w:r w:rsidRPr="00EC63E1">
        <w:rPr>
          <w:lang w:val="en-IE"/>
        </w:rPr>
        <w:t xml:space="preserve"> T., </w:t>
      </w:r>
      <w:proofErr w:type="spellStart"/>
      <w:r w:rsidRPr="00EC63E1">
        <w:rPr>
          <w:lang w:val="en-IE"/>
        </w:rPr>
        <w:t>Naughton</w:t>
      </w:r>
      <w:proofErr w:type="spellEnd"/>
      <w:r>
        <w:rPr>
          <w:lang w:val="en-IE"/>
        </w:rPr>
        <w:t>,</w:t>
      </w:r>
      <w:r w:rsidRPr="00EC63E1">
        <w:rPr>
          <w:lang w:val="en-IE"/>
        </w:rPr>
        <w:t xml:space="preserve"> O., Johnston, P.M.</w:t>
      </w:r>
      <w:r>
        <w:rPr>
          <w:lang w:val="en-IE"/>
        </w:rPr>
        <w:t>,</w:t>
      </w:r>
      <w:r w:rsidRPr="00A23042">
        <w:rPr>
          <w:lang w:val="en-IE"/>
        </w:rPr>
        <w:t xml:space="preserve"> </w:t>
      </w:r>
      <w:r w:rsidRPr="00EC63E1">
        <w:rPr>
          <w:lang w:val="en-IE"/>
        </w:rPr>
        <w:t>Gill, L.W</w:t>
      </w:r>
      <w:r>
        <w:rPr>
          <w:lang w:val="en-IE"/>
        </w:rPr>
        <w:t>.</w:t>
      </w:r>
      <w:proofErr w:type="gramEnd"/>
    </w:p>
    <w:p w:rsidR="00CA3953" w:rsidRPr="00EC63E1" w:rsidRDefault="00CA3953" w:rsidP="00B1797A">
      <w:pPr>
        <w:jc w:val="center"/>
        <w:rPr>
          <w:lang w:val="en-IE"/>
        </w:rPr>
      </w:pPr>
    </w:p>
    <w:p w:rsidR="00CA3953" w:rsidRPr="00EC63E1" w:rsidRDefault="00CA3953" w:rsidP="00B1797A">
      <w:pPr>
        <w:spacing w:line="320" w:lineRule="atLeast"/>
        <w:jc w:val="center"/>
        <w:rPr>
          <w:lang w:val="en-IE"/>
        </w:rPr>
      </w:pPr>
      <w:r w:rsidRPr="00EC63E1">
        <w:rPr>
          <w:vertAlign w:val="superscript"/>
          <w:lang w:val="en-IE"/>
        </w:rPr>
        <w:t>1</w:t>
      </w:r>
      <w:r w:rsidRPr="00EC63E1">
        <w:rPr>
          <w:lang w:val="en-IE"/>
        </w:rPr>
        <w:t>Department of Civil, Structural and Environmental Engineering, Trinity College Dublin, Dublin 2, Ireland</w:t>
      </w:r>
    </w:p>
    <w:p w:rsidR="00235B62" w:rsidRPr="0044721A" w:rsidRDefault="00235B62" w:rsidP="003D44C8"/>
    <w:p w:rsidR="0044721A" w:rsidRDefault="0044721A" w:rsidP="003D44C8">
      <w:pPr>
        <w:rPr>
          <w:shd w:val="clear" w:color="auto" w:fill="FFFFFF"/>
        </w:rPr>
      </w:pPr>
    </w:p>
    <w:p w:rsidR="0044721A" w:rsidRPr="00C74240" w:rsidRDefault="0044721A" w:rsidP="003D44C8">
      <w:pPr>
        <w:rPr>
          <w:shd w:val="clear" w:color="auto" w:fill="FFFFFF"/>
        </w:rPr>
      </w:pPr>
    </w:p>
    <w:p w:rsidR="00975841" w:rsidRDefault="0044721A" w:rsidP="003D44C8">
      <w:pPr>
        <w:rPr>
          <w:shd w:val="clear" w:color="auto" w:fill="FFFFFF"/>
        </w:rPr>
      </w:pPr>
      <w:r w:rsidRPr="00455F6E">
        <w:rPr>
          <w:b/>
          <w:shd w:val="clear" w:color="auto" w:fill="FFFFFF"/>
        </w:rPr>
        <w:t>Corresponding Author</w:t>
      </w:r>
      <w:r w:rsidRPr="0044721A">
        <w:rPr>
          <w:shd w:val="clear" w:color="auto" w:fill="FFFFFF"/>
        </w:rPr>
        <w:t xml:space="preserve">: </w:t>
      </w:r>
      <w:r>
        <w:rPr>
          <w:shd w:val="clear" w:color="auto" w:fill="FFFFFF"/>
        </w:rPr>
        <w:tab/>
        <w:t>Ted McCormack</w:t>
      </w:r>
    </w:p>
    <w:p w:rsidR="0044721A" w:rsidRPr="0044721A" w:rsidRDefault="00455F6E" w:rsidP="003D44C8">
      <w:pPr>
        <w:rPr>
          <w:shd w:val="clear" w:color="auto" w:fill="FFFFFF"/>
        </w:rPr>
      </w:pPr>
      <w:r>
        <w:rPr>
          <w:b/>
          <w:shd w:val="clear" w:color="auto" w:fill="FFFFFF"/>
        </w:rPr>
        <w:t>E</w:t>
      </w:r>
      <w:r w:rsidR="0044721A" w:rsidRPr="00455F6E">
        <w:rPr>
          <w:b/>
          <w:shd w:val="clear" w:color="auto" w:fill="FFFFFF"/>
        </w:rPr>
        <w:t>-mail:</w:t>
      </w:r>
      <w:r w:rsidR="0044721A" w:rsidRPr="00455F6E">
        <w:rPr>
          <w:b/>
          <w:shd w:val="clear" w:color="auto" w:fill="FFFFFF"/>
        </w:rPr>
        <w:tab/>
      </w:r>
      <w:r w:rsidR="0044721A">
        <w:rPr>
          <w:shd w:val="clear" w:color="auto" w:fill="FFFFFF"/>
        </w:rPr>
        <w:tab/>
      </w:r>
      <w:r w:rsidR="0044721A">
        <w:rPr>
          <w:shd w:val="clear" w:color="auto" w:fill="FFFFFF"/>
        </w:rPr>
        <w:tab/>
      </w:r>
      <w:r>
        <w:rPr>
          <w:shd w:val="clear" w:color="auto" w:fill="FFFFFF"/>
        </w:rPr>
        <w:tab/>
      </w:r>
      <w:r w:rsidR="0044721A">
        <w:rPr>
          <w:shd w:val="clear" w:color="auto" w:fill="FFFFFF"/>
        </w:rPr>
        <w:t>mccormte@tcd.ie</w:t>
      </w:r>
    </w:p>
    <w:p w:rsidR="0044721A" w:rsidRDefault="0044721A" w:rsidP="0044721A">
      <w:pPr>
        <w:spacing w:line="240" w:lineRule="auto"/>
        <w:jc w:val="left"/>
        <w:rPr>
          <w:b/>
          <w:shd w:val="clear" w:color="auto" w:fill="FFFFFF"/>
        </w:rPr>
      </w:pPr>
    </w:p>
    <w:p w:rsidR="00B75A4F" w:rsidRPr="00171520" w:rsidRDefault="00B75A4F" w:rsidP="0044721A">
      <w:pPr>
        <w:spacing w:line="240" w:lineRule="auto"/>
        <w:jc w:val="left"/>
        <w:rPr>
          <w:b/>
          <w:shd w:val="clear" w:color="auto" w:fill="FFFFFF"/>
        </w:rPr>
      </w:pPr>
    </w:p>
    <w:p w:rsidR="00AC5FC7" w:rsidRDefault="00CA3953" w:rsidP="003D44C8">
      <w:pPr>
        <w:rPr>
          <w:b/>
          <w:shd w:val="clear" w:color="auto" w:fill="FFFFFF"/>
        </w:rPr>
      </w:pPr>
      <w:r>
        <w:rPr>
          <w:b/>
          <w:shd w:val="clear" w:color="auto" w:fill="FFFFFF"/>
        </w:rPr>
        <w:t>Abstract</w:t>
      </w:r>
    </w:p>
    <w:p w:rsidR="007D0AB1" w:rsidRDefault="00247D76" w:rsidP="003D44C8">
      <w:pPr>
        <w:rPr>
          <w:shd w:val="clear" w:color="auto" w:fill="FFFFFF"/>
        </w:rPr>
      </w:pPr>
      <w:r>
        <w:rPr>
          <w:shd w:val="clear" w:color="auto" w:fill="FFFFFF"/>
        </w:rPr>
        <w:t xml:space="preserve">Nutrient contamination of surface and </w:t>
      </w:r>
      <w:proofErr w:type="spellStart"/>
      <w:r>
        <w:rPr>
          <w:shd w:val="clear" w:color="auto" w:fill="FFFFFF"/>
        </w:rPr>
        <w:t>groundwaters</w:t>
      </w:r>
      <w:proofErr w:type="spellEnd"/>
      <w:r>
        <w:rPr>
          <w:shd w:val="clear" w:color="auto" w:fill="FFFFFF"/>
        </w:rPr>
        <w:t xml:space="preserve"> is an issue of growing importance as the risks associated with agricultural runoff escalate due to increasing demands on global food production. In this study, the nutrient flux occurring within the surface and </w:t>
      </w:r>
      <w:proofErr w:type="spellStart"/>
      <w:r>
        <w:rPr>
          <w:shd w:val="clear" w:color="auto" w:fill="FFFFFF"/>
        </w:rPr>
        <w:t>groundwaters</w:t>
      </w:r>
      <w:proofErr w:type="spellEnd"/>
      <w:r>
        <w:rPr>
          <w:shd w:val="clear" w:color="auto" w:fill="FFFFFF"/>
        </w:rPr>
        <w:t xml:space="preserve"> of a lowland karst catchment in western Ireland was investigated with the aid of alkalinity sampling and a hydrological model. Water samples were collected and tested from a variety of rivers, lakes (or turloughs), boreholes and springs at monthly intervals over a three year period. Alkalinity sampling was used to elucidate the contrasting hydrological functioning between different turloughs. Such disparate hydrological functioning was further investigated with the aid of a hydrological model which allowed for an estimate of allogenic and autogenic derived nutrient loading into the karst system. The model also allowed for an investigation of mixing within the turloughs, </w:t>
      </w:r>
      <w:r w:rsidRPr="00D45854">
        <w:rPr>
          <w:shd w:val="clear" w:color="auto" w:fill="FFFFFF"/>
        </w:rPr>
        <w:t xml:space="preserve">comparing observed behaviours with the hypothetical conservative behaviour allowed for by the model.  Results indicated that at the system outlet </w:t>
      </w:r>
      <w:r>
        <w:rPr>
          <w:shd w:val="clear" w:color="auto" w:fill="FFFFFF"/>
        </w:rPr>
        <w:t>to the sea</w:t>
      </w:r>
      <w:r w:rsidRPr="00D45854">
        <w:rPr>
          <w:shd w:val="clear" w:color="auto" w:fill="FFFFFF"/>
        </w:rPr>
        <w:t>, autogenic recharge ha</w:t>
      </w:r>
      <w:r>
        <w:rPr>
          <w:shd w:val="clear" w:color="auto" w:fill="FFFFFF"/>
        </w:rPr>
        <w:t>d</w:t>
      </w:r>
      <w:r w:rsidRPr="00D45854">
        <w:rPr>
          <w:shd w:val="clear" w:color="auto" w:fill="FFFFFF"/>
        </w:rPr>
        <w:t xml:space="preserve"> added approximately 35% to the total flow and approximately 85% to the total N-load.  Within some turloughs, nutrient loads were found to reduce over the flooded period, even though the turloughs hydrological functioning (and the hydrological model) suggested this should not occur. As </w:t>
      </w:r>
      <w:r>
        <w:rPr>
          <w:shd w:val="clear" w:color="auto" w:fill="FFFFFF"/>
        </w:rPr>
        <w:t>such, it was determined that nutrient loss processes were occurring within the system. Denitrification</w:t>
      </w:r>
      <w:r w:rsidR="006B35EC">
        <w:rPr>
          <w:shd w:val="clear" w:color="auto" w:fill="FFFFFF"/>
        </w:rPr>
        <w:t xml:space="preserve"> </w:t>
      </w:r>
      <w:r w:rsidR="006B35EC" w:rsidRPr="006B35EC">
        <w:rPr>
          <w:highlight w:val="yellow"/>
          <w:shd w:val="clear" w:color="auto" w:fill="FFFFFF"/>
        </w:rPr>
        <w:t>during stable flooded periods (typically 3-4 months per year)</w:t>
      </w:r>
      <w:r>
        <w:rPr>
          <w:shd w:val="clear" w:color="auto" w:fill="FFFFFF"/>
        </w:rPr>
        <w:t xml:space="preserve"> was deemed to be the main process reducing nitrogen concentrations within the turloughs</w:t>
      </w:r>
      <w:r w:rsidR="006B35EC">
        <w:rPr>
          <w:shd w:val="clear" w:color="auto" w:fill="FFFFFF"/>
        </w:rPr>
        <w:t xml:space="preserve"> </w:t>
      </w:r>
      <w:r>
        <w:rPr>
          <w:shd w:val="clear" w:color="auto" w:fill="FFFFFF"/>
        </w:rPr>
        <w:t xml:space="preserve">whereas phosphorus loss </w:t>
      </w:r>
      <w:r w:rsidR="00BD5511">
        <w:rPr>
          <w:shd w:val="clear" w:color="auto" w:fill="FFFFFF"/>
        </w:rPr>
        <w:t>i</w:t>
      </w:r>
      <w:r w:rsidR="00785DB7">
        <w:rPr>
          <w:shd w:val="clear" w:color="auto" w:fill="FFFFFF"/>
        </w:rPr>
        <w:t>s</w:t>
      </w:r>
      <w:r>
        <w:rPr>
          <w:shd w:val="clear" w:color="auto" w:fill="FFFFFF"/>
        </w:rPr>
        <w:t xml:space="preserve"> thought to occur mostly within the diffuse/epikarst zone. </w:t>
      </w:r>
      <w:r w:rsidR="00DA5D10" w:rsidRPr="00B2727D">
        <w:rPr>
          <w:highlight w:val="yellow"/>
          <w:shd w:val="clear" w:color="auto" w:fill="FFFFFF"/>
        </w:rPr>
        <w:t>The results from this study suggest that</w:t>
      </w:r>
      <w:r w:rsidR="00B2727D" w:rsidRPr="00B2727D">
        <w:rPr>
          <w:highlight w:val="yellow"/>
          <w:shd w:val="clear" w:color="auto" w:fill="FFFFFF"/>
        </w:rPr>
        <w:t>, in certain circumstances,</w:t>
      </w:r>
      <w:r w:rsidR="00DA5D10" w:rsidRPr="00B2727D">
        <w:rPr>
          <w:highlight w:val="yellow"/>
          <w:shd w:val="clear" w:color="auto" w:fill="FFFFFF"/>
        </w:rPr>
        <w:t xml:space="preserve"> ephemeral lakes can </w:t>
      </w:r>
      <w:r w:rsidR="00B2727D" w:rsidRPr="00B2727D">
        <w:rPr>
          <w:highlight w:val="yellow"/>
          <w:shd w:val="clear" w:color="auto" w:fill="FFFFFF"/>
        </w:rPr>
        <w:t>impart considerable nutrient losses on a karst system.</w:t>
      </w:r>
    </w:p>
    <w:p w:rsidR="008D556F" w:rsidRPr="00B75A4F" w:rsidRDefault="00B75A4F" w:rsidP="00B75A4F">
      <w:pPr>
        <w:spacing w:line="240" w:lineRule="auto"/>
        <w:jc w:val="left"/>
        <w:rPr>
          <w:shd w:val="clear" w:color="auto" w:fill="FFFFFF"/>
        </w:rPr>
      </w:pPr>
      <w:r>
        <w:rPr>
          <w:shd w:val="clear" w:color="auto" w:fill="FFFFFF"/>
        </w:rPr>
        <w:br w:type="page"/>
      </w:r>
    </w:p>
    <w:p w:rsidR="00070F9B" w:rsidRPr="000F79A7" w:rsidRDefault="003D44C8" w:rsidP="00353A5C">
      <w:pPr>
        <w:pStyle w:val="Heading1"/>
        <w:rPr>
          <w:shd w:val="clear" w:color="auto" w:fill="FFFFFF"/>
        </w:rPr>
      </w:pPr>
      <w:bookmarkStart w:id="0" w:name="_Ref390437934"/>
      <w:r w:rsidRPr="00171520">
        <w:rPr>
          <w:shd w:val="clear" w:color="auto" w:fill="FFFFFF"/>
        </w:rPr>
        <w:lastRenderedPageBreak/>
        <w:t>Intro</w:t>
      </w:r>
      <w:r w:rsidR="005E379D">
        <w:rPr>
          <w:shd w:val="clear" w:color="auto" w:fill="FFFFFF"/>
        </w:rPr>
        <w:t>d</w:t>
      </w:r>
      <w:r w:rsidR="008F4156">
        <w:rPr>
          <w:shd w:val="clear" w:color="auto" w:fill="FFFFFF"/>
        </w:rPr>
        <w:t>uction</w:t>
      </w:r>
      <w:bookmarkEnd w:id="0"/>
    </w:p>
    <w:p w:rsidR="004B378A" w:rsidRDefault="00916CB7" w:rsidP="00353A5C">
      <w:pPr>
        <w:rPr>
          <w:szCs w:val="22"/>
        </w:rPr>
      </w:pPr>
      <w:r w:rsidRPr="00916CB7">
        <w:rPr>
          <w:szCs w:val="22"/>
        </w:rPr>
        <w:t xml:space="preserve">Global food production is predicted to increase by approximately 60% by 2050 </w:t>
      </w:r>
      <w:r w:rsidRPr="00916CB7">
        <w:rPr>
          <w:szCs w:val="22"/>
        </w:rPr>
        <w:fldChar w:fldCharType="begin"/>
      </w:r>
      <w:r w:rsidRPr="00916CB7">
        <w:rPr>
          <w:szCs w:val="22"/>
        </w:rPr>
        <w:instrText xml:space="preserve"> ADDIN EN.CITE &lt;EndNote&gt;&lt;Cite&gt;&lt;Author&gt;Alexandratos&lt;/Author&gt;&lt;Year&gt;2012&lt;/Year&gt;&lt;RecNum&gt;541&lt;/RecNum&gt;&lt;DisplayText&gt;(Alexandratos and Bruinsma, 2012)&lt;/DisplayText&gt;&lt;record&gt;&lt;rec-number&gt;541&lt;/rec-number&gt;&lt;foreign-keys&gt;&lt;key app="EN" db-id="dswvr2vdivtsvfepswzvft9gtsxe5zxfaavp" timestamp="1402320094"&gt;541&lt;/key&gt;&lt;/foreign-keys&gt;&lt;ref-type name="Report"&gt;27&lt;/ref-type&gt;&lt;contributors&gt;&lt;authors&gt;&lt;author&gt;Alexandratos, N.&lt;/author&gt;&lt;author&gt;Bruinsma, J.&lt;/author&gt;&lt;/authors&gt;&lt;/contributors&gt;&lt;titles&gt;&lt;title&gt;World agriculture towards 2030/2050: the 2012 revision&lt;/title&gt;&lt;/titles&gt;&lt;dates&gt;&lt;year&gt;2012&lt;/year&gt;&lt;/dates&gt;&lt;publisher&gt;ESA Working paper No. 12-03. Rome, FAO.&lt;/publisher&gt;&lt;urls&gt;&lt;/urls&gt;&lt;/record&gt;&lt;/Cite&gt;&lt;/EndNote&gt;</w:instrText>
      </w:r>
      <w:r w:rsidRPr="00916CB7">
        <w:rPr>
          <w:szCs w:val="22"/>
        </w:rPr>
        <w:fldChar w:fldCharType="separate"/>
      </w:r>
      <w:r w:rsidRPr="00916CB7">
        <w:rPr>
          <w:szCs w:val="22"/>
        </w:rPr>
        <w:t>(</w:t>
      </w:r>
      <w:hyperlink w:anchor="_ENREF_1" w:tooltip="Alexandratos, 2012 #541" w:history="1">
        <w:r w:rsidR="006B35EC" w:rsidRPr="00916CB7">
          <w:rPr>
            <w:szCs w:val="22"/>
          </w:rPr>
          <w:t>Alexandratos and Bruinsma, 2012</w:t>
        </w:r>
      </w:hyperlink>
      <w:r w:rsidRPr="00916CB7">
        <w:rPr>
          <w:szCs w:val="22"/>
        </w:rPr>
        <w:t>)</w:t>
      </w:r>
      <w:r w:rsidRPr="00916CB7">
        <w:rPr>
          <w:szCs w:val="22"/>
        </w:rPr>
        <w:fldChar w:fldCharType="end"/>
      </w:r>
      <w:r w:rsidRPr="00916CB7">
        <w:rPr>
          <w:szCs w:val="22"/>
        </w:rPr>
        <w:t>, thereby increasing the contamination risks associated with agricultural runoff of raised nutrient concentrations in groundwater and surface-waters. Nutrient contamination of groundwater has been reported across the world, for example</w:t>
      </w:r>
      <w:r w:rsidR="008306B1">
        <w:rPr>
          <w:szCs w:val="22"/>
        </w:rPr>
        <w:t>:</w:t>
      </w:r>
      <w:r w:rsidRPr="00916CB7">
        <w:rPr>
          <w:szCs w:val="22"/>
        </w:rPr>
        <w:t xml:space="preserve"> China </w:t>
      </w:r>
      <w:r w:rsidRPr="00916CB7">
        <w:rPr>
          <w:szCs w:val="22"/>
        </w:rPr>
        <w:fldChar w:fldCharType="begin"/>
      </w:r>
      <w:r w:rsidRPr="00916CB7">
        <w:rPr>
          <w:szCs w:val="22"/>
        </w:rPr>
        <w:instrText xml:space="preserve"> ADDIN EN.CITE &lt;EndNote&gt;&lt;Cite&gt;&lt;Author&gt;Zhang&lt;/Author&gt;&lt;Year&gt;1996&lt;/Year&gt;&lt;RecNum&gt;542&lt;/RecNum&gt;&lt;DisplayText&gt;(Zhang et al., 1996)&lt;/DisplayText&gt;&lt;record&gt;&lt;rec-number&gt;542&lt;/rec-number&gt;&lt;foreign-keys&gt;&lt;key app="EN" db-id="dswvr2vdivtsvfepswzvft9gtsxe5zxfaavp" timestamp="1402321989"&gt;542&lt;/key&gt;&lt;/foreign-keys&gt;&lt;ref-type name="Journal Article"&gt;17&lt;/ref-type&gt;&lt;contributors&gt;&lt;authors&gt;&lt;author&gt;Zhang, W. L.&lt;/author&gt;&lt;author&gt;Tian, Z. X.&lt;/author&gt;&lt;author&gt;Zhang, N.&lt;/author&gt;&lt;author&gt;Li, X. Q.&lt;/author&gt;&lt;/authors&gt;&lt;/contributors&gt;&lt;titles&gt;&lt;title&gt;Nitrate pollution of groundwater in northern China&lt;/title&gt;&lt;secondary-title&gt;Agriculture, Ecosystems &amp;amp; Environment&lt;/secondary-title&gt;&lt;/titles&gt;&lt;periodical&gt;&lt;full-title&gt;Agriculture, Ecosystems &amp;amp; Environment&lt;/full-title&gt;&lt;/periodical&gt;&lt;pages&gt;223-231&lt;/pages&gt;&lt;volume&gt;59&lt;/volume&gt;&lt;number&gt;3&lt;/number&gt;&lt;keywords&gt;&lt;keyword&gt;Nitrate content in water&lt;/keyword&gt;&lt;keyword&gt;Ground water&lt;/keyword&gt;&lt;keyword&gt;Drinking water&lt;/keyword&gt;&lt;keyword&gt;Nitrogen fertiliser amount&lt;/keyword&gt;&lt;keyword&gt;Nitrate pollution&lt;/keyword&gt;&lt;keyword&gt;China&lt;/keyword&gt;&lt;/keywords&gt;&lt;dates&gt;&lt;year&gt;1996&lt;/year&gt;&lt;pub-dates&gt;&lt;date&gt;10//&lt;/date&gt;&lt;/pub-dates&gt;&lt;/dates&gt;&lt;isbn&gt;0167-8809&lt;/isbn&gt;&lt;urls&gt;&lt;related-urls&gt;&lt;url&gt;http://www.sciencedirect.com/science/article/pii/0167880996010523&lt;/url&gt;&lt;/related-urls&gt;&lt;/urls&gt;&lt;electronic-resource-num&gt;http://dx.doi.org/10.1016/0167-8809(96)01052-3&lt;/electronic-resource-num&gt;&lt;/record&gt;&lt;/Cite&gt;&lt;/EndNote&gt;</w:instrText>
      </w:r>
      <w:r w:rsidRPr="00916CB7">
        <w:rPr>
          <w:szCs w:val="22"/>
        </w:rPr>
        <w:fldChar w:fldCharType="separate"/>
      </w:r>
      <w:r w:rsidRPr="00916CB7">
        <w:rPr>
          <w:szCs w:val="22"/>
        </w:rPr>
        <w:t>(</w:t>
      </w:r>
      <w:hyperlink w:anchor="_ENREF_43" w:tooltip="Zhang, 1996 #542" w:history="1">
        <w:r w:rsidR="006B35EC" w:rsidRPr="00916CB7">
          <w:rPr>
            <w:szCs w:val="22"/>
          </w:rPr>
          <w:t>Zhang et al., 1996</w:t>
        </w:r>
      </w:hyperlink>
      <w:r w:rsidRPr="00916CB7">
        <w:rPr>
          <w:szCs w:val="22"/>
        </w:rPr>
        <w:t>)</w:t>
      </w:r>
      <w:r w:rsidRPr="00916CB7">
        <w:rPr>
          <w:szCs w:val="22"/>
        </w:rPr>
        <w:fldChar w:fldCharType="end"/>
      </w:r>
      <w:r w:rsidRPr="00916CB7">
        <w:rPr>
          <w:szCs w:val="22"/>
        </w:rPr>
        <w:t xml:space="preserve">,  Turkey </w:t>
      </w:r>
      <w:r w:rsidRPr="00916CB7">
        <w:rPr>
          <w:szCs w:val="22"/>
        </w:rPr>
        <w:fldChar w:fldCharType="begin"/>
      </w:r>
      <w:r w:rsidRPr="00916CB7">
        <w:rPr>
          <w:szCs w:val="22"/>
        </w:rPr>
        <w:instrText xml:space="preserve"> ADDIN EN.CITE &lt;EndNote&gt;&lt;Cite&gt;&lt;Author&gt;Davraz&lt;/Author&gt;&lt;Year&gt;2009&lt;/Year&gt;&lt;RecNum&gt;544&lt;/RecNum&gt;&lt;DisplayText&gt;(Davraz et al., 2009)&lt;/DisplayText&gt;&lt;record&gt;&lt;rec-number&gt;544&lt;/rec-number&gt;&lt;foreign-keys&gt;&lt;key app="EN" db-id="dswvr2vdivtsvfepswzvft9gtsxe5zxfaavp" timestamp="1402322866"&gt;544&lt;/key&gt;&lt;/foreign-keys&gt;&lt;ref-type name="Journal Article"&gt;17&lt;/ref-type&gt;&lt;contributors&gt;&lt;authors&gt;&lt;author&gt;Davraz, Aysen&lt;/author&gt;&lt;author&gt;Karaguzel, Remzi&lt;/author&gt;&lt;author&gt;Soyaslan, Iskender&lt;/author&gt;&lt;author&gt;Sener, Erhan&lt;/author&gt;&lt;author&gt;Seyman, Fatma&lt;/author&gt;&lt;author&gt;Sener, Sehnaz&lt;/author&gt;&lt;/authors&gt;&lt;/contributors&gt;&lt;titles&gt;&lt;title&gt;Hydrogeology of karst aquifer systems in SW Turkey and an assessment of water quality and contamination problems&lt;/title&gt;&lt;secondary-title&gt;Environmental Geology&lt;/secondary-title&gt;&lt;alt-title&gt;Environ Geol&lt;/alt-title&gt;&lt;/titles&gt;&lt;periodical&gt;&lt;full-title&gt;Environmental Geology&lt;/full-title&gt;&lt;/periodical&gt;&lt;pages&gt;973-988&lt;/pages&gt;&lt;volume&gt;58&lt;/volume&gt;&lt;number&gt;5&lt;/number&gt;&lt;keywords&gt;&lt;keyword&gt;Groundwater&lt;/keyword&gt;&lt;keyword&gt;Karst hydrology&lt;/keyword&gt;&lt;keyword&gt;Western Taurides&lt;/keyword&gt;&lt;keyword&gt;Hydrogeochemistry&lt;/keyword&gt;&lt;/keywords&gt;&lt;dates&gt;&lt;year&gt;2009&lt;/year&gt;&lt;pub-dates&gt;&lt;date&gt;2009/09/01&lt;/date&gt;&lt;/pub-dates&gt;&lt;/dates&gt;&lt;publisher&gt;Springer-Verlag&lt;/publisher&gt;&lt;isbn&gt;0943-0105&lt;/isbn&gt;&lt;urls&gt;&lt;related-urls&gt;&lt;url&gt;http://dx.doi.org/10.1007/s00254-008-1577-5&lt;/url&gt;&lt;/related-urls&gt;&lt;/urls&gt;&lt;electronic-resource-num&gt;10.1007/s00254-008-1577-5&lt;/electronic-resource-num&gt;&lt;language&gt;English&lt;/language&gt;&lt;/record&gt;&lt;/Cite&gt;&lt;/EndNote&gt;</w:instrText>
      </w:r>
      <w:r w:rsidRPr="00916CB7">
        <w:rPr>
          <w:szCs w:val="22"/>
        </w:rPr>
        <w:fldChar w:fldCharType="separate"/>
      </w:r>
      <w:r w:rsidRPr="00916CB7">
        <w:rPr>
          <w:szCs w:val="22"/>
        </w:rPr>
        <w:t>(</w:t>
      </w:r>
      <w:hyperlink w:anchor="_ENREF_8" w:tooltip="Davraz, 2009 #544" w:history="1">
        <w:r w:rsidR="006B35EC" w:rsidRPr="00916CB7">
          <w:rPr>
            <w:szCs w:val="22"/>
          </w:rPr>
          <w:t>Davraz et al., 2009</w:t>
        </w:r>
      </w:hyperlink>
      <w:r w:rsidRPr="00916CB7">
        <w:rPr>
          <w:szCs w:val="22"/>
        </w:rPr>
        <w:t>)</w:t>
      </w:r>
      <w:r w:rsidRPr="00916CB7">
        <w:rPr>
          <w:szCs w:val="22"/>
        </w:rPr>
        <w:fldChar w:fldCharType="end"/>
      </w:r>
      <w:r w:rsidRPr="00916CB7">
        <w:rPr>
          <w:szCs w:val="22"/>
        </w:rPr>
        <w:t xml:space="preserve">, India </w:t>
      </w:r>
      <w:r w:rsidRPr="00916CB7">
        <w:rPr>
          <w:szCs w:val="22"/>
        </w:rPr>
        <w:fldChar w:fldCharType="begin"/>
      </w:r>
      <w:r w:rsidRPr="00916CB7">
        <w:rPr>
          <w:szCs w:val="22"/>
        </w:rPr>
        <w:instrText xml:space="preserve"> ADDIN EN.CITE &lt;EndNote&gt;&lt;Cite&gt;&lt;Author&gt;Rao&lt;/Author&gt;&lt;Year&gt;1997&lt;/Year&gt;&lt;RecNum&gt;546&lt;/RecNum&gt;&lt;DisplayText&gt;(Rao and Prasad, 1997)&lt;/DisplayText&gt;&lt;record&gt;&lt;rec-number&gt;546&lt;/rec-number&gt;&lt;foreign-keys&gt;&lt;key app="EN" db-id="dswvr2vdivtsvfepswzvft9gtsxe5zxfaavp" timestamp="1402324434"&gt;546&lt;/key&gt;&lt;/foreign-keys&gt;&lt;ref-type name="Journal Article"&gt;17&lt;/ref-type&gt;&lt;contributors&gt;&lt;authors&gt;&lt;author&gt;Rao, N. S.&lt;/author&gt;&lt;author&gt;Prasad, P. Rajendra&lt;/author&gt;&lt;/authors&gt;&lt;/contributors&gt;&lt;titles&gt;&lt;title&gt;Phosphate pollution in the groundwater of lower Vamsadhara river basin, India&lt;/title&gt;&lt;secondary-title&gt;Environmental Geology&lt;/secondary-title&gt;&lt;alt-title&gt;Environmental Geology&lt;/alt-title&gt;&lt;/titles&gt;&lt;periodical&gt;&lt;full-title&gt;Environmental Geology&lt;/full-title&gt;&lt;/periodical&gt;&lt;alt-periodical&gt;&lt;full-title&gt;Environmental Geology&lt;/full-title&gt;&lt;/alt-periodical&gt;&lt;pages&gt;117-122&lt;/pages&gt;&lt;volume&gt;31&lt;/volume&gt;&lt;number&gt;1-2&lt;/number&gt;&lt;keywords&gt;&lt;keyword&gt;Key words</w:instrText>
      </w:r>
      <w:r w:rsidRPr="00916CB7">
        <w:rPr>
          <w:szCs w:val="22"/>
        </w:rPr>
        <w:instrText> </w:instrText>
      </w:r>
      <w:r w:rsidRPr="00916CB7">
        <w:rPr>
          <w:szCs w:val="22"/>
        </w:rPr>
        <w:instrText>Phosphate&lt;/keyword&gt;&lt;keyword&gt;Leachate&lt;/keyword&gt;&lt;keyword&gt;Vamsadhara river basin&lt;/keyword&gt;&lt;keyword&gt;Apatite&lt;/keyword&gt;&lt;/keywords&gt;&lt;dates&gt;&lt;year&gt;1997&lt;/year&gt;&lt;pub-dates&gt;&lt;date&gt;1997/05/01&lt;/date&gt;&lt;/pub-dates&gt;&lt;/dates&gt;&lt;publisher&gt;Springer-Verlag&lt;/publisher&gt;&lt;isbn&gt;0943-0105&lt;/isbn&gt;&lt;urls&gt;&lt;related-urls&gt;&lt;url&gt;http://dx.doi.org/10.1007/s002540050170&lt;/url&gt;&lt;/related-urls&gt;&lt;/urls&gt;&lt;electronic-resource-num&gt;10.1007/s002540050170&lt;/electronic-resource-num&gt;&lt;language&gt;English&lt;/language&gt;&lt;/record&gt;&lt;/Cite&gt;&lt;/EndNote&gt;</w:instrText>
      </w:r>
      <w:r w:rsidRPr="00916CB7">
        <w:rPr>
          <w:szCs w:val="22"/>
        </w:rPr>
        <w:fldChar w:fldCharType="separate"/>
      </w:r>
      <w:r w:rsidRPr="00916CB7">
        <w:rPr>
          <w:szCs w:val="22"/>
        </w:rPr>
        <w:t>(</w:t>
      </w:r>
      <w:hyperlink w:anchor="_ENREF_31" w:tooltip="Rao, 1997 #546" w:history="1">
        <w:r w:rsidR="006B35EC" w:rsidRPr="00916CB7">
          <w:rPr>
            <w:szCs w:val="22"/>
          </w:rPr>
          <w:t>Rao and Prasad, 1997</w:t>
        </w:r>
      </w:hyperlink>
      <w:r w:rsidRPr="00916CB7">
        <w:rPr>
          <w:szCs w:val="22"/>
        </w:rPr>
        <w:t>)</w:t>
      </w:r>
      <w:r w:rsidRPr="00916CB7">
        <w:rPr>
          <w:szCs w:val="22"/>
        </w:rPr>
        <w:fldChar w:fldCharType="end"/>
      </w:r>
      <w:r w:rsidRPr="00916CB7">
        <w:rPr>
          <w:szCs w:val="22"/>
        </w:rPr>
        <w:t xml:space="preserve"> and the United States </w:t>
      </w:r>
      <w:r w:rsidRPr="00916CB7">
        <w:rPr>
          <w:szCs w:val="22"/>
        </w:rPr>
        <w:fldChar w:fldCharType="begin"/>
      </w:r>
      <w:r w:rsidR="003770AA">
        <w:rPr>
          <w:szCs w:val="22"/>
        </w:rPr>
        <w:instrText xml:space="preserve"> ADDIN EN.CITE &lt;EndNote&gt;&lt;Cite&gt;&lt;Author&gt;Domagalski&lt;/Author&gt;&lt;Year&gt;2012&lt;/Year&gt;&lt;RecNum&gt;547&lt;/RecNum&gt;&lt;DisplayText&gt;(Domagalski and Johnson, 2012;Hudak, 2000)&lt;/DisplayText&gt;&lt;record&gt;&lt;rec-number&gt;547&lt;/rec-number&gt;&lt;foreign-keys&gt;&lt;key app="EN" db-id="dswvr2vdivtsvfepswzvft9gtsxe5zxfaavp" timestamp="1402324919"&gt;547&lt;/key&gt;&lt;/foreign-keys&gt;&lt;ref-type name="Report"&gt;27&lt;/ref-type&gt;&lt;contributors&gt;&lt;authors&gt;&lt;author&gt;Domagalski, J.L.&lt;/author&gt;&lt;author&gt;Johnson, H.&lt;/author&gt;&lt;/authors&gt;&lt;/contributors&gt;&lt;titles&gt;&lt;title&gt;Phosphorus and Groundwater: Establishing Links Between Agricultural Use and Transport to Streams: U.S. Geological Survey Fact Sheet 2012-3004&lt;/title&gt;&lt;/titles&gt;&lt;dates&gt;&lt;year&gt;2012&lt;/year&gt;&lt;/dates&gt;&lt;urls&gt;&lt;/urls&gt;&lt;/record&gt;&lt;/Cite&gt;&lt;Cite&gt;&lt;Author&gt;Hudak&lt;/Author&gt;&lt;Year&gt;2000&lt;/Year&gt;&lt;RecNum&gt;543&lt;/RecNum&gt;&lt;record&gt;&lt;rec-number&gt;543&lt;/rec-number&gt;&lt;foreign-keys&gt;&lt;key app="EN" db-id="dswvr2vdivtsvfepswzvft9gtsxe5zxfaavp" timestamp="1402321993"&gt;543&lt;/key&gt;&lt;/foreign-keys&gt;&lt;ref-type name="Journal Article"&gt;17&lt;/ref-type&gt;&lt;contributors&gt;&lt;authors&gt;&lt;author&gt;Hudak, P. F.&lt;/author&gt;&lt;/authors&gt;&lt;/contributors&gt;&lt;titles&gt;&lt;title&gt;Regional trends in nitrate content of Texas groundwater&lt;/title&gt;&lt;secondary-title&gt;Journal of Hydrology&lt;/secondary-title&gt;&lt;/titles&gt;&lt;periodical&gt;&lt;full-title&gt;Journal of Hydrology&lt;/full-title&gt;&lt;/periodical&gt;&lt;pages&gt;37-47&lt;/pages&gt;&lt;volume&gt;228&lt;/volume&gt;&lt;number&gt;1–2&lt;/number&gt;&lt;keywords&gt;&lt;keyword&gt;Groundwater&lt;/keyword&gt;&lt;keyword&gt;Nitrate&lt;/keyword&gt;&lt;keyword&gt;Texas&lt;/keyword&gt;&lt;keyword&gt;Geographic information system&lt;/keyword&gt;&lt;/keywords&gt;&lt;dates&gt;&lt;year&gt;2000&lt;/year&gt;&lt;pub-dates&gt;&lt;date&gt;2/21/&lt;/date&gt;&lt;/pub-dates&gt;&lt;/dates&gt;&lt;isbn&gt;0022-1694&lt;/isbn&gt;&lt;urls&gt;&lt;related-urls&gt;&lt;url&gt;http://www.sciencedirect.com/science/article/pii/S0022169499002061&lt;/url&gt;&lt;/related-urls&gt;&lt;/urls&gt;&lt;electronic-resource-num&gt;http://dx.doi.org/10.1016/S0022-1694(99)00206-1&lt;/electronic-resource-num&gt;&lt;/record&gt;&lt;/Cite&gt;&lt;/EndNote&gt;</w:instrText>
      </w:r>
      <w:r w:rsidRPr="00916CB7">
        <w:rPr>
          <w:szCs w:val="22"/>
        </w:rPr>
        <w:fldChar w:fldCharType="separate"/>
      </w:r>
      <w:r w:rsidR="003770AA">
        <w:rPr>
          <w:noProof/>
          <w:szCs w:val="22"/>
        </w:rPr>
        <w:t>(</w:t>
      </w:r>
      <w:hyperlink w:anchor="_ENREF_10" w:tooltip="Domagalski, 2012 #547" w:history="1">
        <w:r w:rsidR="006B35EC">
          <w:rPr>
            <w:noProof/>
            <w:szCs w:val="22"/>
          </w:rPr>
          <w:t>Domagalski and Johnson, 2012</w:t>
        </w:r>
      </w:hyperlink>
      <w:r w:rsidR="003770AA">
        <w:rPr>
          <w:noProof/>
          <w:szCs w:val="22"/>
        </w:rPr>
        <w:t>;</w:t>
      </w:r>
      <w:hyperlink w:anchor="_ENREF_18" w:tooltip="Hudak, 2000 #543" w:history="1">
        <w:r w:rsidR="006B35EC">
          <w:rPr>
            <w:noProof/>
            <w:szCs w:val="22"/>
          </w:rPr>
          <w:t>Hudak, 2000</w:t>
        </w:r>
      </w:hyperlink>
      <w:r w:rsidR="003770AA">
        <w:rPr>
          <w:noProof/>
          <w:szCs w:val="22"/>
        </w:rPr>
        <w:t>)</w:t>
      </w:r>
      <w:r w:rsidRPr="00916CB7">
        <w:rPr>
          <w:szCs w:val="22"/>
        </w:rPr>
        <w:fldChar w:fldCharType="end"/>
      </w:r>
      <w:r w:rsidR="008306B1">
        <w:rPr>
          <w:szCs w:val="22"/>
        </w:rPr>
        <w:t>,</w:t>
      </w:r>
      <w:r w:rsidRPr="00916CB7">
        <w:rPr>
          <w:szCs w:val="22"/>
        </w:rPr>
        <w:t xml:space="preserve"> with such evidence </w:t>
      </w:r>
      <w:r w:rsidR="007A61D1" w:rsidRPr="00916CB7">
        <w:rPr>
          <w:szCs w:val="22"/>
        </w:rPr>
        <w:t>contributing</w:t>
      </w:r>
      <w:r w:rsidRPr="00916CB7">
        <w:rPr>
          <w:szCs w:val="22"/>
        </w:rPr>
        <w:t xml:space="preserve"> towards the introduction of the EU Nitrates (91/676/EEC) </w:t>
      </w:r>
      <w:r w:rsidR="00414DFE">
        <w:rPr>
          <w:szCs w:val="22"/>
        </w:rPr>
        <w:fldChar w:fldCharType="begin"/>
      </w:r>
      <w:r w:rsidR="00414DFE">
        <w:rPr>
          <w:szCs w:val="22"/>
        </w:rPr>
        <w:instrText xml:space="preserve"> ADDIN EN.CITE &lt;EndNote&gt;&lt;Cite ExcludeAuth="1" ExcludeYear="1" Hidden="1"&gt;&lt;Author&gt;European Parliament and Council&lt;/Author&gt;&lt;Year&gt;1991&lt;/Year&gt;&lt;RecNum&gt;552&lt;/RecNum&gt;&lt;record&gt;&lt;rec-number&gt;552&lt;/rec-number&gt;&lt;foreign-keys&gt;&lt;key app="EN" db-id="dswvr2vdivtsvfepswzvft9gtsxe5zxfaavp" timestamp="1402329184"&gt;552&lt;/key&gt;&lt;/foreign-keys&gt;&lt;ref-type name="Journal Article"&gt;17&lt;/ref-type&gt;&lt;contributors&gt;&lt;authors&gt;&lt;author&gt;European Parliament and Council,&lt;/author&gt;&lt;/authors&gt;&lt;/contributors&gt;&lt;titles&gt;&lt;title&gt;Directive 91/676/EEC concerning the protection of waters against pollution caused by nitrates from agricultural sources&lt;/title&gt;&lt;secondary-title&gt;Official Journal of the European Communities L 375/1 31.12.91&lt;/secondary-title&gt;&lt;/titles&gt;&lt;periodical&gt;&lt;full-title&gt;Official Journal of the European Communities L 375/1 31.12.91&lt;/full-title&gt;&lt;/periodical&gt;&lt;dates&gt;&lt;year&gt;1991&lt;/year&gt;&lt;/dates&gt;&lt;urls&gt;&lt;/urls&gt;&lt;/record&gt;&lt;/Cite&gt;&lt;/EndNote&gt;</w:instrText>
      </w:r>
      <w:r w:rsidR="00414DFE">
        <w:rPr>
          <w:szCs w:val="22"/>
        </w:rPr>
        <w:fldChar w:fldCharType="end"/>
      </w:r>
      <w:r w:rsidRPr="00916CB7">
        <w:rPr>
          <w:szCs w:val="22"/>
        </w:rPr>
        <w:t xml:space="preserve">and Groundwater (2006/118/EC) </w:t>
      </w:r>
      <w:r w:rsidR="00414DFE">
        <w:rPr>
          <w:szCs w:val="22"/>
        </w:rPr>
        <w:fldChar w:fldCharType="begin"/>
      </w:r>
      <w:r w:rsidR="00414DFE">
        <w:rPr>
          <w:szCs w:val="22"/>
        </w:rPr>
        <w:instrText xml:space="preserve"> ADDIN EN.CITE &lt;EndNote&gt;&lt;Cite ExcludeAuth="1" ExcludeYear="1" Hidden="1"&gt;&lt;Author&gt;European Parliament and Council&lt;/Author&gt;&lt;Year&gt;2006&lt;/Year&gt;&lt;RecNum&gt;551&lt;/RecNum&gt;&lt;record&gt;&lt;rec-number&gt;551&lt;/rec-number&gt;&lt;foreign-keys&gt;&lt;key app="EN" db-id="dswvr2vdivtsvfepswzvft9gtsxe5zxfaavp" timestamp="1402328769"&gt;551&lt;/key&gt;&lt;/foreign-keys&gt;&lt;ref-type name="Journal Article"&gt;17&lt;/ref-type&gt;&lt;contributors&gt;&lt;authors&gt;&lt;author&gt;European Parliament and Council,&lt;/author&gt;&lt;/authors&gt;&lt;/contributors&gt;&lt;titles&gt;&lt;title&gt;Directive 2006/118/EC of the European Parliament and of the Council on the protection of groundwater against pollution and deterioration&lt;/title&gt;&lt;secondary-title&gt;Official journal of the European Union L372/19 27.12.2006&lt;/secondary-title&gt;&lt;/titles&gt;&lt;periodical&gt;&lt;full-title&gt;Official journal of the European Union L372/19 27.12.2006&lt;/full-title&gt;&lt;/periodical&gt;&lt;dates&gt;&lt;year&gt;2006&lt;/year&gt;&lt;/dates&gt;&lt;urls&gt;&lt;/urls&gt;&lt;/record&gt;&lt;/Cite&gt;&lt;/EndNote&gt;</w:instrText>
      </w:r>
      <w:r w:rsidR="00414DFE">
        <w:rPr>
          <w:szCs w:val="22"/>
        </w:rPr>
        <w:fldChar w:fldCharType="end"/>
      </w:r>
      <w:r w:rsidRPr="00916CB7">
        <w:rPr>
          <w:szCs w:val="22"/>
        </w:rPr>
        <w:t xml:space="preserve">Directives. </w:t>
      </w:r>
    </w:p>
    <w:p w:rsidR="00A31CB8" w:rsidRDefault="00A31CB8" w:rsidP="00353A5C">
      <w:pPr>
        <w:rPr>
          <w:szCs w:val="22"/>
        </w:rPr>
      </w:pPr>
    </w:p>
    <w:p w:rsidR="00916CB7" w:rsidRDefault="00916CB7" w:rsidP="00916CB7">
      <w:r>
        <w:t xml:space="preserve">In non-carbonate aquifers, </w:t>
      </w:r>
      <w:r w:rsidR="00247D76">
        <w:t>n</w:t>
      </w:r>
      <w:r>
        <w:t xml:space="preserve">itrogen (N) and </w:t>
      </w:r>
      <w:r w:rsidR="00247D76">
        <w:t>p</w:t>
      </w:r>
      <w:r>
        <w:t>hosphorus (P) are subject to separate transport dynamics. Nitrate (NO</w:t>
      </w:r>
      <w:r>
        <w:rPr>
          <w:vertAlign w:val="subscript"/>
        </w:rPr>
        <w:t>3</w:t>
      </w:r>
      <w:r>
        <w:t xml:space="preserve">) is often found to be conservatively transported due to </w:t>
      </w:r>
      <w:r w:rsidR="004F649E">
        <w:t>its</w:t>
      </w:r>
      <w:r>
        <w:t xml:space="preserve"> high solubility and mobility characteristics while P is retained due to its affinity to particulate matter </w:t>
      </w:r>
      <w:r>
        <w:fldChar w:fldCharType="begin"/>
      </w:r>
      <w:r>
        <w:instrText xml:space="preserve"> ADDIN EN.CITE &lt;EndNote&gt;&lt;Cite&gt;&lt;Author&gt;Weiskel&lt;/Author&gt;&lt;Year&gt;1992&lt;/Year&gt;&lt;RecNum&gt;445&lt;/RecNum&gt;&lt;DisplayText&gt;(Weiskel and Howes, 1992)&lt;/DisplayText&gt;&lt;record&gt;&lt;rec-number&gt;445&lt;/rec-number&gt;&lt;foreign-keys&gt;&lt;key app="EN" db-id="dswvr2vdivtsvfepswzvft9gtsxe5zxfaavp" timestamp="1372785181"&gt;445&lt;/key&gt;&lt;/foreign-keys&gt;&lt;ref-type name="Journal Article"&gt;17&lt;/ref-type&gt;&lt;contributors&gt;&lt;authors&gt;&lt;author&gt;Weiskel, Peter K.&lt;/author&gt;&lt;author&gt;Howes, Brian L.&lt;/author&gt;&lt;/authors&gt;&lt;/contributors&gt;&lt;titles&gt;&lt;title&gt;Differential transport of sewage-derived nitrogen and phosphorus through a coastal watershed&lt;/title&gt;&lt;secondary-title&gt;Environmental Science &amp;amp; Technology&lt;/secondary-title&gt;&lt;/titles&gt;&lt;periodical&gt;&lt;full-title&gt;Environmental Science &amp;amp; Technology&lt;/full-title&gt;&lt;/periodical&gt;&lt;pages&gt;352-360&lt;/pages&gt;&lt;volume&gt;26&lt;/volume&gt;&lt;number&gt;2&lt;/number&gt;&lt;dates&gt;&lt;year&gt;1992&lt;/year&gt;&lt;pub-dates&gt;&lt;date&gt;1992/02/01&lt;/date&gt;&lt;/pub-dates&gt;&lt;/dates&gt;&lt;publisher&gt;American Chemical Society&lt;/publisher&gt;&lt;isbn&gt;0013-936X&lt;/isbn&gt;&lt;urls&gt;&lt;related-urls&gt;&lt;url&gt;http://dx.doi.org/10.1021/es00026a017&lt;/url&gt;&lt;/related-urls&gt;&lt;/urls&gt;&lt;electronic-resource-num&gt;10.1021/es00026a017&lt;/electronic-resource-num&gt;&lt;access-date&gt;2013/07/02&lt;/access-date&gt;&lt;/record&gt;&lt;/Cite&gt;&lt;/EndNote&gt;</w:instrText>
      </w:r>
      <w:r>
        <w:fldChar w:fldCharType="separate"/>
      </w:r>
      <w:r>
        <w:t>(</w:t>
      </w:r>
      <w:hyperlink w:anchor="_ENREF_41" w:tooltip="Weiskel, 1992 #445" w:history="1">
        <w:r w:rsidR="006B35EC" w:rsidRPr="00916CB7">
          <w:t>Weiskel and Howes, 1992</w:t>
        </w:r>
      </w:hyperlink>
      <w:r>
        <w:t>)</w:t>
      </w:r>
      <w:r>
        <w:fldChar w:fldCharType="end"/>
      </w:r>
      <w:r>
        <w:t>. In carbonate aquifers however, the existence of point recharge features, such as swallow holes or estavelles, provide direct access points for N and P into the aquifer</w:t>
      </w:r>
      <w:r w:rsidR="004F649E">
        <w:t>.</w:t>
      </w:r>
      <w:r>
        <w:t xml:space="preserve"> </w:t>
      </w:r>
      <w:r w:rsidR="004F649E">
        <w:t xml:space="preserve">This allows </w:t>
      </w:r>
      <w:r>
        <w:t xml:space="preserve">contaminants to bypass the protective soil cover associated with most diffuse recharge and enter the karst fracture/conduit network </w:t>
      </w:r>
      <w:r w:rsidR="004F649E">
        <w:t xml:space="preserve">with little or no attenuation </w:t>
      </w:r>
      <w:r>
        <w:fldChar w:fldCharType="begin"/>
      </w:r>
      <w:r>
        <w:instrText xml:space="preserve"> ADDIN EN.CITE &lt;EndNote&gt;&lt;Cite&gt;&lt;Author&gt;Coxon&lt;/Author&gt;&lt;Year&gt;2011&lt;/Year&gt;&lt;RecNum&gt;456&lt;/RecNum&gt;&lt;DisplayText&gt;(Coxon, 2011)&lt;/DisplayText&gt;&lt;record&gt;&lt;rec-number&gt;456&lt;/rec-number&gt;&lt;foreign-keys&gt;&lt;key app="EN" db-id="dswvr2vdivtsvfepswzvft9gtsxe5zxfaavp" timestamp="1373313487"&gt;456&lt;/key&gt;&lt;/foreign-keys&gt;&lt;ref-type name="Book Section"&gt;5&lt;/ref-type&gt;&lt;contributors&gt;&lt;authors&gt;&lt;author&gt;Coxon, C.E.&lt;/author&gt;&lt;/authors&gt;&lt;secondary-authors&gt;&lt;author&gt;Beynen, P.E.&lt;/author&gt;&lt;/secondary-authors&gt;&lt;/contributors&gt;&lt;titles&gt;&lt;title&gt;Agriculture and Karst&lt;/title&gt;&lt;secondary-title&gt;Karst Management&lt;/secondary-title&gt;&lt;/titles&gt;&lt;pages&gt;103-138&lt;/pages&gt;&lt;dates&gt;&lt;year&gt;2011&lt;/year&gt;&lt;/dates&gt;&lt;publisher&gt;Springer&lt;/publisher&gt;&lt;urls&gt;&lt;/urls&gt;&lt;electronic-resource-num&gt;DOI 10.1007/978-94-007-1207-2_5&lt;/electronic-resource-num&gt;&lt;/record&gt;&lt;/Cite&gt;&lt;/EndNote&gt;</w:instrText>
      </w:r>
      <w:r>
        <w:fldChar w:fldCharType="separate"/>
      </w:r>
      <w:r>
        <w:t>(</w:t>
      </w:r>
      <w:hyperlink w:anchor="_ENREF_5" w:tooltip="Coxon, 2011 #456" w:history="1">
        <w:r w:rsidR="006B35EC" w:rsidRPr="00916CB7">
          <w:t>Coxon, 2011</w:t>
        </w:r>
      </w:hyperlink>
      <w:r>
        <w:t>)</w:t>
      </w:r>
      <w:r>
        <w:fldChar w:fldCharType="end"/>
      </w:r>
      <w:r>
        <w:t xml:space="preserve">. Within the conduit system, a contaminant can then be rapidly transmitted through an aquifer in ecologically significant quantities with very little attenuation or chemical breakdown.  </w:t>
      </w:r>
    </w:p>
    <w:p w:rsidR="00CD2FA6" w:rsidRPr="00353A5C" w:rsidRDefault="00CD2FA6" w:rsidP="008F30BB">
      <w:pPr>
        <w:rPr>
          <w:szCs w:val="22"/>
        </w:rPr>
      </w:pPr>
    </w:p>
    <w:p w:rsidR="00916CB7" w:rsidRPr="00916CB7" w:rsidRDefault="00916CB7" w:rsidP="00916CB7">
      <w:r w:rsidRPr="00916CB7">
        <w:t xml:space="preserve">In the Republic of Ireland, carboniferous limestone covers approximately half of the land surface and is often heavily karstified. Moreover, </w:t>
      </w:r>
      <w:r w:rsidRPr="00C245EE">
        <w:t xml:space="preserve">most of this limestone is lowland and coincides with productive agricultural land </w:t>
      </w:r>
      <w:r w:rsidRPr="00C245EE">
        <w:fldChar w:fldCharType="begin"/>
      </w:r>
      <w:r w:rsidRPr="00C245EE">
        <w:instrText xml:space="preserve"> ADDIN EN.CITE &lt;EndNote&gt;&lt;Cite&gt;&lt;Author&gt;Drew&lt;/Author&gt;&lt;Year&gt;2008&lt;/Year&gt;&lt;RecNum&gt;116&lt;/RecNum&gt;&lt;DisplayText&gt;(Drew, 2008)&lt;/DisplayText&gt;&lt;record&gt;&lt;rec-number&gt;116&lt;/rec-number&gt;&lt;foreign-keys&gt;&lt;key app="EN" db-id="dswvr2vdivtsvfepswzvft9gtsxe5zxfaavp" timestamp="1313519080"&gt;116&lt;/key&gt;&lt;/foreign-keys&gt;&lt;ref-type name="Journal Article"&gt;17&lt;/ref-type&gt;&lt;contributors&gt;&lt;authors&gt;&lt;author&gt;Drew, D.P.&lt;/author&gt;&lt;/authors&gt;&lt;/contributors&gt;&lt;titles&gt;&lt;title&gt;Hydrogeology of lowland karst in Ireland&lt;/title&gt;&lt;secondary-title&gt;Quarterly Journal of Engineering Geology and Hydrogeology&lt;/secondary-title&gt;&lt;/titles&gt;&lt;periodical&gt;&lt;full-title&gt;Quarterly Journal of Engineering Geology and Hydrogeology&lt;/full-title&gt;&lt;/periodical&gt;&lt;pages&gt;61-72&lt;/pages&gt;&lt;volume&gt;41&lt;/volume&gt;&lt;number&gt;1&lt;/number&gt;&lt;dates&gt;&lt;year&gt;2008&lt;/year&gt;&lt;pub-dates&gt;&lt;date&gt;February 1, 2008&lt;/date&gt;&lt;/pub-dates&gt;&lt;/dates&gt;&lt;urls&gt;&lt;related-urls&gt;&lt;url&gt;http://qjegh.lyellcollection.org/cgi/content/abstract/41/1/61&lt;/url&gt;&lt;/related-urls&gt;&lt;/urls&gt;&lt;electronic-resource-num&gt;10.1144/1470-9236/07-027&lt;/electronic-resource-num&gt;&lt;/record&gt;&lt;/Cite&gt;&lt;/EndNote&gt;</w:instrText>
      </w:r>
      <w:r w:rsidRPr="00C245EE">
        <w:fldChar w:fldCharType="separate"/>
      </w:r>
      <w:r w:rsidRPr="00C245EE">
        <w:t>(</w:t>
      </w:r>
      <w:hyperlink w:anchor="_ENREF_12" w:tooltip="Drew, 2008 #116" w:history="1">
        <w:r w:rsidR="006B35EC" w:rsidRPr="00C245EE">
          <w:t>Drew, 2008</w:t>
        </w:r>
      </w:hyperlink>
      <w:r w:rsidRPr="00C245EE">
        <w:t>)</w:t>
      </w:r>
      <w:r w:rsidRPr="00C245EE">
        <w:fldChar w:fldCharType="end"/>
      </w:r>
      <w:r w:rsidR="00C245EE">
        <w:t xml:space="preserve"> and a</w:t>
      </w:r>
      <w:r w:rsidRPr="00C245EE">
        <w:t xml:space="preserve">s such, the influence of agricultural practices and nutrient loading on karst is of particular </w:t>
      </w:r>
      <w:r w:rsidR="00C245EE" w:rsidRPr="00C245EE">
        <w:t>importance.</w:t>
      </w:r>
      <w:r w:rsidRPr="00C245EE">
        <w:t xml:space="preserve"> </w:t>
      </w:r>
      <w:r w:rsidRPr="00916CB7">
        <w:t xml:space="preserve">Current research into nutrient contamination in Ireland is of additional </w:t>
      </w:r>
      <w:r w:rsidR="00C245EE" w:rsidRPr="00916CB7">
        <w:t>significance</w:t>
      </w:r>
      <w:r w:rsidRPr="00916CB7">
        <w:t xml:space="preserve"> </w:t>
      </w:r>
      <w:r w:rsidR="00801DB7">
        <w:t xml:space="preserve">as many catchments </w:t>
      </w:r>
      <w:r w:rsidR="00B2727D" w:rsidRPr="007D2368">
        <w:rPr>
          <w:highlight w:val="cyan"/>
        </w:rPr>
        <w:t>will</w:t>
      </w:r>
      <w:r w:rsidR="00B2727D">
        <w:t xml:space="preserve"> fail</w:t>
      </w:r>
      <w:r w:rsidR="00801DB7">
        <w:t xml:space="preserve"> </w:t>
      </w:r>
      <w:r w:rsidRPr="00916CB7">
        <w:t>to achieve the goals of the EU Water Framework Directive (2000/60/EC)</w:t>
      </w:r>
      <w:r w:rsidR="00414DFE">
        <w:fldChar w:fldCharType="begin"/>
      </w:r>
      <w:r w:rsidR="00414DFE">
        <w:instrText xml:space="preserve"> ADDIN EN.CITE &lt;EndNote&gt;&lt;Cite ExcludeAuth="1" ExcludeYear="1" Hidden="1"&gt;&lt;Author&gt;European Parliament and Council&lt;/Author&gt;&lt;Year&gt;2000&lt;/Year&gt;&lt;RecNum&gt;329&lt;/RecNum&gt;&lt;record&gt;&lt;rec-number&gt;329&lt;/rec-number&gt;&lt;foreign-keys&gt;&lt;key app="EN" db-id="dswvr2vdivtsvfepswzvft9gtsxe5zxfaavp" timestamp="1354376028"&gt;329&lt;/key&gt;&lt;/foreign-keys&gt;&lt;ref-type name="Journal Article"&gt;17&lt;/ref-type&gt;&lt;contributors&gt;&lt;authors&gt;&lt;author&gt;European Parliament and Council,&lt;/author&gt;&lt;/authors&gt;&lt;/contributors&gt;&lt;titles&gt;&lt;title&gt;Directive 2000/60/EC establishing a framework for Community action in the field of water policy.&lt;/title&gt;&lt;secondary-title&gt;Official Journal of the European Communities L 327/1 22.12.2000&lt;/secondary-title&gt;&lt;/titles&gt;&lt;periodical&gt;&lt;full-title&gt;Official Journal of the European Communities L 327/1 22.12.2000&lt;/full-title&gt;&lt;/periodical&gt;&lt;keywords&gt;&lt;keyword&gt;Conservation and management&lt;/keyword&gt;&lt;/keywords&gt;&lt;dates&gt;&lt;year&gt;2000&lt;/year&gt;&lt;/dates&gt;&lt;urls&gt;&lt;/urls&gt;&lt;/record&gt;&lt;/Cite&gt;&lt;/EndNote&gt;</w:instrText>
      </w:r>
      <w:r w:rsidR="00414DFE">
        <w:fldChar w:fldCharType="end"/>
      </w:r>
      <w:r w:rsidRPr="00916CB7">
        <w:t xml:space="preserve">, whereby all water bodies should achieve at least ‘good’ water status by 2015. </w:t>
      </w:r>
    </w:p>
    <w:p w:rsidR="00AC67DA" w:rsidRDefault="00AC67DA" w:rsidP="008F30BB">
      <w:pPr>
        <w:rPr>
          <w:szCs w:val="22"/>
        </w:rPr>
      </w:pPr>
    </w:p>
    <w:p w:rsidR="00F75B15" w:rsidRPr="00C245EE" w:rsidRDefault="00C245EE" w:rsidP="00F75B15">
      <w:pPr>
        <w:rPr>
          <w:szCs w:val="22"/>
        </w:rPr>
      </w:pPr>
      <w:r w:rsidRPr="00F75B15">
        <w:rPr>
          <w:szCs w:val="22"/>
          <w:highlight w:val="yellow"/>
        </w:rPr>
        <w:t xml:space="preserve">While a hydrochemical nature of </w:t>
      </w:r>
      <w:r w:rsidR="000F79A7" w:rsidRPr="00F75B15">
        <w:rPr>
          <w:szCs w:val="22"/>
          <w:highlight w:val="yellow"/>
        </w:rPr>
        <w:t>permanent</w:t>
      </w:r>
      <w:r w:rsidRPr="00F75B15">
        <w:rPr>
          <w:szCs w:val="22"/>
          <w:highlight w:val="yellow"/>
        </w:rPr>
        <w:t xml:space="preserve"> lakes in Ireland has been the subject of much research, relatively little work </w:t>
      </w:r>
      <w:r w:rsidR="00916CB7" w:rsidRPr="00F75B15">
        <w:rPr>
          <w:szCs w:val="22"/>
          <w:highlight w:val="yellow"/>
        </w:rPr>
        <w:t>has been carried out into the nutrient flux within ephemeral la</w:t>
      </w:r>
      <w:r w:rsidR="00F75B15" w:rsidRPr="00F75B15">
        <w:rPr>
          <w:szCs w:val="22"/>
          <w:highlight w:val="yellow"/>
        </w:rPr>
        <w:t>kes</w:t>
      </w:r>
      <w:r w:rsidR="00916CB7" w:rsidRPr="00F75B15">
        <w:rPr>
          <w:szCs w:val="22"/>
          <w:highlight w:val="yellow"/>
        </w:rPr>
        <w:t xml:space="preserve"> and their influence on their catchment (and vice versa). </w:t>
      </w:r>
      <w:r w:rsidR="00F75B15" w:rsidRPr="00F75B15">
        <w:rPr>
          <w:szCs w:val="22"/>
          <w:highlight w:val="yellow"/>
          <w:lang w:val="en-IE"/>
        </w:rPr>
        <w:t xml:space="preserve">These ephemeral lakes, known as </w:t>
      </w:r>
      <w:r w:rsidR="00273A51" w:rsidRPr="00FA6E1B">
        <w:rPr>
          <w:i/>
          <w:szCs w:val="22"/>
          <w:highlight w:val="yellow"/>
          <w:lang w:val="en-IE"/>
        </w:rPr>
        <w:t>t</w:t>
      </w:r>
      <w:r w:rsidR="00F75B15" w:rsidRPr="00FA6E1B">
        <w:rPr>
          <w:i/>
          <w:szCs w:val="22"/>
          <w:highlight w:val="yellow"/>
          <w:lang w:val="en-IE"/>
        </w:rPr>
        <w:t>urloughs</w:t>
      </w:r>
      <w:r w:rsidR="00F75B15" w:rsidRPr="00F75B15">
        <w:rPr>
          <w:szCs w:val="22"/>
          <w:highlight w:val="yellow"/>
          <w:lang w:val="en-IE"/>
        </w:rPr>
        <w:t xml:space="preserve"> are a characteristic feature of the Irish karst landscape. Their flooding results from a combination of high rainfall and consequently high groundwater levels in topographic depressions in karst. Flooding typically occurs through underground conduits and springs in autumn forming a lake for several months in winter which then empties via swallow holes (or estavella) in the springtime  </w:t>
      </w:r>
      <w:r w:rsidR="00F75B15" w:rsidRPr="00F75B15">
        <w:rPr>
          <w:szCs w:val="22"/>
          <w:highlight w:val="yellow"/>
          <w:lang w:val="en-IE"/>
        </w:rPr>
        <w:fldChar w:fldCharType="begin"/>
      </w:r>
      <w:r w:rsidR="00F75B15" w:rsidRPr="00F75B15">
        <w:rPr>
          <w:szCs w:val="22"/>
          <w:highlight w:val="yellow"/>
          <w:lang w:val="en-IE"/>
        </w:rPr>
        <w:instrText xml:space="preserve"> ADDIN EN.CITE &lt;EndNote&gt;&lt;Cite&gt;&lt;Author&gt;Sheehy Skeffington&lt;/Author&gt;&lt;Year&gt;2006&lt;/Year&gt;&lt;RecNum&gt;62&lt;/RecNum&gt;&lt;DisplayText&gt;(Sheehy Skeffington et al., 2006)&lt;/DisplayText&gt;&lt;record&gt;&lt;rec-number&gt;62&lt;/rec-number&gt;&lt;foreign-keys&gt;&lt;key app="EN" db-id="dswvr2vdivtsvfepswzvft9gtsxe5zxfaavp" timestamp="1310567969"&gt;62&lt;/key&gt;&lt;/foreign-keys&gt;&lt;ref-type name="Journal Article"&gt;17&lt;/ref-type&gt;&lt;contributors&gt;&lt;authors&gt;&lt;author&gt;Sheehy Skeffington, M.&lt;/author&gt;&lt;author&gt;Moran, J.&lt;/author&gt;&lt;author&gt;O Connor, Á&lt;/author&gt;&lt;author&gt;Regan, E.&lt;/author&gt;&lt;author&gt;Coxon, C. E.&lt;/author&gt;&lt;author&gt;Scott, N. E.&lt;/author&gt;&lt;author&gt;Gormally, M.&lt;/author&gt;&lt;/authors&gt;&lt;/contributors&gt;&lt;titles&gt;&lt;title&gt;Turloughs - Ireland&amp;apos;s unique wetland habitat&lt;/title&gt;&lt;secondary-title&gt;Biological Conservation&lt;/secondary-title&gt;&lt;/titles&gt;&lt;periodical&gt;&lt;full-title&gt;Biological Conservation&lt;/full-title&gt;&lt;/periodical&gt;&lt;pages&gt;265-290&lt;/pages&gt;&lt;volume&gt;133&lt;/volume&gt;&lt;number&gt;3&lt;/number&gt;&lt;keywords&gt;&lt;keyword&gt;Biodiversity&lt;/keyword&gt;&lt;keyword&gt;Conservation&lt;/keyword&gt;&lt;keyword&gt;Karst&lt;/keyword&gt;&lt;keyword&gt;Turloughs&lt;/keyword&gt;&lt;keyword&gt;Wetlands&lt;/keyword&gt;&lt;keyword&gt;Birds&lt;/keyword&gt;&lt;keyword&gt;Hydrology&lt;/keyword&gt;&lt;keyword&gt;Invertebrates&lt;/keyword&gt;&lt;keyword&gt;Land use&lt;/keyword&gt;&lt;keyword&gt;Review&lt;/keyword&gt;&lt;keyword&gt;Vegetation&lt;/keyword&gt;&lt;/keywords&gt;&lt;dates&gt;&lt;year&gt;2006&lt;/year&gt;&lt;/dates&gt;&lt;isbn&gt;0006-3207&lt;/isbn&gt;&lt;urls&gt;&lt;related-urls&gt;&lt;url&gt;http://www.sciencedirect.com/science/article/pii/S000632070600293X&lt;/url&gt;&lt;/related-urls&gt;&lt;/urls&gt;&lt;electronic-resource-num&gt;10.1016/j.biocon.2006.06.019&lt;/electronic-resource-num&gt;&lt;/record&gt;&lt;/Cite&gt;&lt;/EndNote&gt;</w:instrText>
      </w:r>
      <w:r w:rsidR="00F75B15" w:rsidRPr="00F75B15">
        <w:rPr>
          <w:szCs w:val="22"/>
          <w:highlight w:val="yellow"/>
          <w:lang w:val="en-IE"/>
        </w:rPr>
        <w:fldChar w:fldCharType="separate"/>
      </w:r>
      <w:r w:rsidR="00F75B15" w:rsidRPr="00F75B15">
        <w:rPr>
          <w:szCs w:val="22"/>
          <w:highlight w:val="yellow"/>
          <w:lang w:val="en-IE"/>
        </w:rPr>
        <w:t>(</w:t>
      </w:r>
      <w:hyperlink w:anchor="_ENREF_36" w:tooltip="Sheehy Skeffington, 2006 #62" w:history="1">
        <w:r w:rsidR="006B35EC" w:rsidRPr="00F75B15">
          <w:rPr>
            <w:highlight w:val="yellow"/>
          </w:rPr>
          <w:t xml:space="preserve">Sheehy </w:t>
        </w:r>
        <w:r w:rsidR="006B35EC" w:rsidRPr="00F75B15">
          <w:rPr>
            <w:highlight w:val="yellow"/>
          </w:rPr>
          <w:lastRenderedPageBreak/>
          <w:t>Skeffington et al., 2006</w:t>
        </w:r>
      </w:hyperlink>
      <w:r w:rsidR="00F75B15" w:rsidRPr="00F75B15">
        <w:rPr>
          <w:szCs w:val="22"/>
          <w:highlight w:val="yellow"/>
          <w:lang w:val="en-IE"/>
        </w:rPr>
        <w:t>)</w:t>
      </w:r>
      <w:r w:rsidR="00F75B15" w:rsidRPr="00F75B15">
        <w:rPr>
          <w:szCs w:val="22"/>
          <w:highlight w:val="yellow"/>
          <w:lang w:val="en-IE"/>
        </w:rPr>
        <w:fldChar w:fldCharType="end"/>
      </w:r>
      <w:r w:rsidR="00F75B15" w:rsidRPr="00F75B15">
        <w:rPr>
          <w:szCs w:val="22"/>
          <w:highlight w:val="yellow"/>
          <w:lang w:val="en-IE"/>
        </w:rPr>
        <w:t xml:space="preserve">. </w:t>
      </w:r>
      <w:r w:rsidR="00F75B15" w:rsidRPr="00F75B15">
        <w:rPr>
          <w:highlight w:val="yellow"/>
        </w:rPr>
        <w:t>Occasional flooding also occurs at other times of the year in response to high rainfall.</w:t>
      </w:r>
      <w:r w:rsidR="00F75B15" w:rsidRPr="00F75B15">
        <w:rPr>
          <w:color w:val="FF0000"/>
          <w:szCs w:val="22"/>
          <w:highlight w:val="yellow"/>
          <w:lang w:val="en-IE"/>
        </w:rPr>
        <w:t xml:space="preserve"> </w:t>
      </w:r>
      <w:r w:rsidR="00F75B15" w:rsidRPr="00F75B15">
        <w:rPr>
          <w:szCs w:val="22"/>
          <w:highlight w:val="yellow"/>
          <w:lang w:val="en-IE"/>
        </w:rPr>
        <w:t xml:space="preserve">These inherent and variable flooding patterns promote unique ecology as the flora and fauna has had to adapt to survive the conditions, and as such, many turloughs have been designated as Special Areas of Conservation (SAC) under Annex 1 of the EU Habitats Directive (92/43/EEC). Also, under the EU Water Framework Directive, turloughs are considered as Groundwater Dependent Terrestrial Ecosystems (GWDTE).  </w:t>
      </w:r>
    </w:p>
    <w:p w:rsidR="00F75B15" w:rsidRDefault="00F75B15" w:rsidP="003D44C8">
      <w:pPr>
        <w:rPr>
          <w:shd w:val="clear" w:color="auto" w:fill="FFFFFF"/>
        </w:rPr>
      </w:pPr>
    </w:p>
    <w:p w:rsidR="005A249F" w:rsidRPr="005A249F" w:rsidRDefault="005A249F" w:rsidP="005A249F">
      <w:pPr>
        <w:rPr>
          <w:shd w:val="clear" w:color="auto" w:fill="FFFFFF"/>
        </w:rPr>
      </w:pPr>
      <w:r w:rsidRPr="005A249F">
        <w:rPr>
          <w:highlight w:val="cyan"/>
          <w:shd w:val="clear" w:color="auto" w:fill="FFFFFF"/>
        </w:rPr>
        <w:t>Due to the protected status of turloughs within the study area of this project, as well as the protected status of their eventual outlet at Kinvara Bay (part of G</w:t>
      </w:r>
      <w:r w:rsidR="000F79A7">
        <w:rPr>
          <w:highlight w:val="cyan"/>
          <w:shd w:val="clear" w:color="auto" w:fill="FFFFFF"/>
        </w:rPr>
        <w:t>alway Bay complex SAC), it is</w:t>
      </w:r>
      <w:r w:rsidRPr="005A249F">
        <w:rPr>
          <w:highlight w:val="cyan"/>
          <w:shd w:val="clear" w:color="auto" w:fill="FFFFFF"/>
        </w:rPr>
        <w:t xml:space="preserve"> important to understand the nutrient processes which are occurring in the region. </w:t>
      </w:r>
      <w:r w:rsidR="00070F9B" w:rsidRPr="005A249F">
        <w:rPr>
          <w:highlight w:val="cyan"/>
        </w:rPr>
        <w:t>The</w:t>
      </w:r>
      <w:r w:rsidRPr="005A249F">
        <w:rPr>
          <w:highlight w:val="cyan"/>
        </w:rPr>
        <w:t>se</w:t>
      </w:r>
      <w:r w:rsidR="00070F9B" w:rsidRPr="005A249F">
        <w:rPr>
          <w:highlight w:val="cyan"/>
        </w:rPr>
        <w:t xml:space="preserve"> </w:t>
      </w:r>
      <w:r w:rsidR="00273A51" w:rsidRPr="005A249F">
        <w:rPr>
          <w:highlight w:val="cyan"/>
        </w:rPr>
        <w:t>processes</w:t>
      </w:r>
      <w:r w:rsidR="00070F9B" w:rsidRPr="005A249F">
        <w:rPr>
          <w:highlight w:val="cyan"/>
        </w:rPr>
        <w:t xml:space="preserve"> </w:t>
      </w:r>
      <w:r w:rsidRPr="005A249F">
        <w:rPr>
          <w:highlight w:val="cyan"/>
        </w:rPr>
        <w:t>are</w:t>
      </w:r>
      <w:r w:rsidR="00070F9B" w:rsidRPr="005A249F">
        <w:rPr>
          <w:highlight w:val="cyan"/>
        </w:rPr>
        <w:t xml:space="preserve"> especially important in the context of the likely future pressures </w:t>
      </w:r>
      <w:r w:rsidR="00273A51">
        <w:rPr>
          <w:highlight w:val="cyan"/>
        </w:rPr>
        <w:t>on</w:t>
      </w:r>
      <w:r w:rsidR="00273A51" w:rsidRPr="005A249F">
        <w:rPr>
          <w:highlight w:val="cyan"/>
        </w:rPr>
        <w:t xml:space="preserve"> </w:t>
      </w:r>
      <w:r w:rsidR="00070F9B" w:rsidRPr="005A249F">
        <w:rPr>
          <w:highlight w:val="cyan"/>
        </w:rPr>
        <w:t xml:space="preserve">the catchment. Food Harvest 2020 is strategic plan to develop the Irish Agricultural Sector and is expected to lead to a 33% increase in primary output across the country, compared to 2007-2009 averages </w:t>
      </w:r>
      <w:r w:rsidR="00070F9B" w:rsidRPr="005A249F">
        <w:rPr>
          <w:highlight w:val="cyan"/>
        </w:rPr>
        <w:fldChar w:fldCharType="begin"/>
      </w:r>
      <w:r w:rsidR="00070F9B" w:rsidRPr="005A249F">
        <w:rPr>
          <w:highlight w:val="cyan"/>
        </w:rPr>
        <w:instrText xml:space="preserve"> ADDIN EN.CITE &lt;EndNote&gt;&lt;Cite&gt;&lt;Author&gt;Department of Agriculture Fisheries and Food&lt;/Author&gt;&lt;Year&gt;2010&lt;/Year&gt;&lt;RecNum&gt;555&lt;/RecNum&gt;&lt;DisplayText&gt;(Department of Agriculture Fisheries and Food, 2010)&lt;/DisplayText&gt;&lt;record&gt;&lt;rec-number&gt;555&lt;/rec-number&gt;&lt;foreign-keys&gt;&lt;key app="EN" db-id="dswvr2vdivtsvfepswzvft9gtsxe5zxfaavp" timestamp="1402942414"&gt;555&lt;/key&gt;&lt;/foreign-keys&gt;&lt;ref-type name="Report"&gt;27&lt;/ref-type&gt;&lt;contributors&gt;&lt;authors&gt;&lt;author&gt;Department of Agriculture Fisheries and Food,&lt;/author&gt;&lt;/authors&gt;&lt;/contributors&gt;&lt;titles&gt;&lt;title&gt;Food Harvest 2020 - A Vision for Irish Agri-Food and Fisheries&lt;/title&gt;&lt;/titles&gt;&lt;dates&gt;&lt;year&gt;2010&lt;/year&gt;&lt;/dates&gt;&lt;pub-location&gt;Agriculture House, Kildare St. Dublin 2, Ireland&lt;/pub-location&gt;&lt;urls&gt;&lt;/urls&gt;&lt;/record&gt;&lt;/Cite&gt;&lt;/EndNote&gt;</w:instrText>
      </w:r>
      <w:r w:rsidR="00070F9B" w:rsidRPr="005A249F">
        <w:rPr>
          <w:highlight w:val="cyan"/>
        </w:rPr>
        <w:fldChar w:fldCharType="separate"/>
      </w:r>
      <w:r w:rsidR="00070F9B" w:rsidRPr="005A249F">
        <w:rPr>
          <w:highlight w:val="cyan"/>
        </w:rPr>
        <w:t>(</w:t>
      </w:r>
      <w:hyperlink w:anchor="_ENREF_9" w:tooltip="Department of Agriculture Fisheries and Food, 2010 #555" w:history="1">
        <w:r w:rsidR="00070F9B" w:rsidRPr="005A249F">
          <w:rPr>
            <w:highlight w:val="cyan"/>
          </w:rPr>
          <w:t>Department of Agriculture Fisheries and Food, 2010</w:t>
        </w:r>
      </w:hyperlink>
      <w:r w:rsidR="00070F9B" w:rsidRPr="005A249F">
        <w:rPr>
          <w:highlight w:val="cyan"/>
        </w:rPr>
        <w:t>)</w:t>
      </w:r>
      <w:r w:rsidR="00070F9B" w:rsidRPr="005A249F">
        <w:rPr>
          <w:highlight w:val="cyan"/>
        </w:rPr>
        <w:fldChar w:fldCharType="end"/>
      </w:r>
      <w:r w:rsidRPr="005A249F">
        <w:rPr>
          <w:highlight w:val="cyan"/>
        </w:rPr>
        <w:t xml:space="preserve"> </w:t>
      </w:r>
      <w:r w:rsidRPr="005A249F">
        <w:rPr>
          <w:highlight w:val="cyan"/>
          <w:shd w:val="clear" w:color="auto" w:fill="FFFFFF"/>
        </w:rPr>
        <w:t>S</w:t>
      </w:r>
      <w:r w:rsidR="00070F9B" w:rsidRPr="005A249F">
        <w:rPr>
          <w:highlight w:val="cyan"/>
        </w:rPr>
        <w:t xml:space="preserve">uch a plan would lead to substantial escalation in nutrient loading from agricultural sources and thus poses a significant challenge to Ireland meeting the goals as set out by the Water Framework Directive. The problem is exacerbated further with the likely increases in rainfall intensity and frequency of storm events due to climate change which will encourage nutrients to bypass the protective soil cover and enter the karst aquifer via point source features. </w:t>
      </w:r>
      <w:r w:rsidRPr="005A249F">
        <w:rPr>
          <w:szCs w:val="22"/>
          <w:highlight w:val="cyan"/>
          <w:lang w:val="en-IE"/>
        </w:rPr>
        <w:t>Hence</w:t>
      </w:r>
      <w:r w:rsidR="00273A51">
        <w:rPr>
          <w:szCs w:val="22"/>
          <w:highlight w:val="cyan"/>
          <w:lang w:val="en-IE"/>
        </w:rPr>
        <w:t>,</w:t>
      </w:r>
      <w:r w:rsidRPr="005A249F">
        <w:rPr>
          <w:szCs w:val="22"/>
          <w:highlight w:val="cyan"/>
          <w:lang w:val="en-IE"/>
        </w:rPr>
        <w:t xml:space="preserve"> the </w:t>
      </w:r>
      <w:r w:rsidRPr="005A249F">
        <w:rPr>
          <w:szCs w:val="22"/>
          <w:highlight w:val="cyan"/>
        </w:rPr>
        <w:t>aim of this research was to investigate the nutrient flux within a series of such protected turloughs (with the aid of alkalinity sampling and a hydraulic model) whilst also examining the nutrient flux within the overall catchment surrounding them.</w:t>
      </w:r>
      <w:r w:rsidRPr="00C245EE">
        <w:rPr>
          <w:szCs w:val="22"/>
        </w:rPr>
        <w:t xml:space="preserve">   </w:t>
      </w:r>
    </w:p>
    <w:p w:rsidR="005A249F" w:rsidRDefault="005A249F" w:rsidP="003D44C8">
      <w:pPr>
        <w:rPr>
          <w:shd w:val="clear" w:color="auto" w:fill="FFFFFF"/>
        </w:rPr>
      </w:pPr>
    </w:p>
    <w:p w:rsidR="009770FD" w:rsidRPr="00171520" w:rsidRDefault="003C7699" w:rsidP="00E00FFB">
      <w:pPr>
        <w:pStyle w:val="Heading1"/>
        <w:rPr>
          <w:shd w:val="clear" w:color="auto" w:fill="FFFFFF"/>
        </w:rPr>
      </w:pPr>
      <w:r w:rsidRPr="00171520">
        <w:rPr>
          <w:shd w:val="clear" w:color="auto" w:fill="FFFFFF"/>
        </w:rPr>
        <w:t>Area Description</w:t>
      </w:r>
      <w:r w:rsidR="00E84941">
        <w:rPr>
          <w:shd w:val="clear" w:color="auto" w:fill="FFFFFF"/>
        </w:rPr>
        <w:t xml:space="preserve"> and Background</w:t>
      </w:r>
    </w:p>
    <w:p w:rsidR="00033DAE" w:rsidRDefault="006C5A81" w:rsidP="00033DAE">
      <w:pPr>
        <w:rPr>
          <w:szCs w:val="22"/>
          <w:lang w:val="en-IE"/>
        </w:rPr>
      </w:pPr>
      <w:r>
        <w:rPr>
          <w:szCs w:val="22"/>
          <w:shd w:val="clear" w:color="auto" w:fill="FFFFFF"/>
        </w:rPr>
        <w:t xml:space="preserve">The Gort Lowlands is a </w:t>
      </w:r>
      <w:r w:rsidR="00FC2401">
        <w:rPr>
          <w:szCs w:val="22"/>
          <w:shd w:val="clear" w:color="auto" w:fill="FFFFFF"/>
        </w:rPr>
        <w:t>48</w:t>
      </w:r>
      <w:r w:rsidR="004F649E">
        <w:rPr>
          <w:szCs w:val="22"/>
          <w:shd w:val="clear" w:color="auto" w:fill="FFFFFF"/>
        </w:rPr>
        <w:t>0</w:t>
      </w:r>
      <w:r>
        <w:rPr>
          <w:szCs w:val="22"/>
          <w:lang w:val="en-IE"/>
        </w:rPr>
        <w:t xml:space="preserve"> km</w:t>
      </w:r>
      <w:r>
        <w:rPr>
          <w:szCs w:val="22"/>
          <w:vertAlign w:val="superscript"/>
          <w:lang w:val="en-IE"/>
        </w:rPr>
        <w:t>2</w:t>
      </w:r>
      <w:r>
        <w:rPr>
          <w:szCs w:val="22"/>
          <w:lang w:val="en-IE"/>
        </w:rPr>
        <w:t xml:space="preserve"> semi-karstic catchment located </w:t>
      </w:r>
      <w:r w:rsidRPr="009301BE">
        <w:rPr>
          <w:szCs w:val="22"/>
          <w:lang w:val="en-IE"/>
        </w:rPr>
        <w:t xml:space="preserve">in </w:t>
      </w:r>
      <w:r w:rsidR="00801DB7" w:rsidRPr="005A249F">
        <w:rPr>
          <w:szCs w:val="22"/>
          <w:highlight w:val="cyan"/>
          <w:lang w:val="en-IE"/>
        </w:rPr>
        <w:t>County</w:t>
      </w:r>
      <w:r w:rsidRPr="009301BE">
        <w:rPr>
          <w:szCs w:val="22"/>
          <w:lang w:val="en-IE"/>
        </w:rPr>
        <w:t xml:space="preserve"> Galway </w:t>
      </w:r>
      <w:r>
        <w:rPr>
          <w:szCs w:val="22"/>
          <w:lang w:val="en-IE"/>
        </w:rPr>
        <w:t>in the west of Ireland. The eastern portion of the catchment is dominated by the Slieve Aughty Mountains and underlain by Devonian Sandstone.</w:t>
      </w:r>
      <w:r w:rsidR="004F649E" w:rsidRPr="004F649E">
        <w:rPr>
          <w:szCs w:val="22"/>
          <w:lang w:val="en-IE"/>
        </w:rPr>
        <w:t xml:space="preserve"> </w:t>
      </w:r>
      <w:r w:rsidR="004F649E">
        <w:rPr>
          <w:szCs w:val="22"/>
          <w:lang w:val="en-IE"/>
        </w:rPr>
        <w:t>The western portion of the catchment, however, is mostly flat and underlain by pure carboniferous limestone. Similar to the majority of karstic regions found within Ireland, the catchment is primarily lowland (rarely rising above 30 m) and as such, the region is subject to considerable interaction between ground and surface waters.</w:t>
      </w:r>
      <w:r w:rsidR="00801DB7">
        <w:rPr>
          <w:szCs w:val="22"/>
          <w:lang w:val="en-IE"/>
        </w:rPr>
        <w:t xml:space="preserve"> </w:t>
      </w:r>
    </w:p>
    <w:p w:rsidR="006C5A81" w:rsidRDefault="006C5A81" w:rsidP="00033DAE">
      <w:pPr>
        <w:rPr>
          <w:szCs w:val="22"/>
          <w:lang w:val="en-IE"/>
        </w:rPr>
      </w:pPr>
    </w:p>
    <w:p w:rsidR="00B55484" w:rsidRDefault="00B55484" w:rsidP="00B55484">
      <w:pPr>
        <w:rPr>
          <w:szCs w:val="22"/>
          <w:lang w:val="en-IE"/>
        </w:rPr>
      </w:pPr>
      <w:r>
        <w:rPr>
          <w:szCs w:val="22"/>
          <w:lang w:val="en-IE"/>
        </w:rPr>
        <w:t xml:space="preserve">The prevailing </w:t>
      </w:r>
      <w:r w:rsidR="004F649E">
        <w:rPr>
          <w:szCs w:val="22"/>
          <w:lang w:val="en-IE"/>
        </w:rPr>
        <w:t>drainage</w:t>
      </w:r>
      <w:r>
        <w:rPr>
          <w:szCs w:val="22"/>
          <w:lang w:val="en-IE"/>
        </w:rPr>
        <w:t xml:space="preserve"> direction </w:t>
      </w:r>
      <w:r w:rsidR="004F649E">
        <w:rPr>
          <w:szCs w:val="22"/>
          <w:lang w:val="en-IE"/>
        </w:rPr>
        <w:t xml:space="preserve">in </w:t>
      </w:r>
      <w:r>
        <w:rPr>
          <w:szCs w:val="22"/>
          <w:lang w:val="en-IE"/>
        </w:rPr>
        <w:t>the catchment is east to west</w:t>
      </w:r>
      <w:r w:rsidR="004F649E">
        <w:rPr>
          <w:szCs w:val="22"/>
          <w:lang w:val="en-IE"/>
        </w:rPr>
        <w:t>,</w:t>
      </w:r>
      <w:r>
        <w:rPr>
          <w:szCs w:val="22"/>
          <w:lang w:val="en-IE"/>
        </w:rPr>
        <w:t xml:space="preserve"> with </w:t>
      </w:r>
      <w:r w:rsidR="004F649E">
        <w:rPr>
          <w:szCs w:val="22"/>
          <w:lang w:val="en-IE"/>
        </w:rPr>
        <w:t xml:space="preserve">recharge from </w:t>
      </w:r>
      <w:r>
        <w:rPr>
          <w:szCs w:val="22"/>
          <w:lang w:val="en-IE"/>
        </w:rPr>
        <w:t xml:space="preserve">the non-carbonate Slieve Aughty Mountains </w:t>
      </w:r>
      <w:r w:rsidR="00816944" w:rsidRPr="005A249F">
        <w:rPr>
          <w:szCs w:val="22"/>
          <w:highlight w:val="cyan"/>
          <w:lang w:val="en-IE"/>
        </w:rPr>
        <w:t>(hereafter referred to as just ‘mountains’)</w:t>
      </w:r>
      <w:r w:rsidR="00816944">
        <w:rPr>
          <w:szCs w:val="22"/>
          <w:lang w:val="en-IE"/>
        </w:rPr>
        <w:t xml:space="preserve"> </w:t>
      </w:r>
      <w:r>
        <w:rPr>
          <w:szCs w:val="22"/>
          <w:lang w:val="en-IE"/>
        </w:rPr>
        <w:t xml:space="preserve">flowing across the lowland karst towards a series of intertidal springs at Kinvara Bay. This significant contribution of </w:t>
      </w:r>
      <w:r>
        <w:rPr>
          <w:szCs w:val="22"/>
          <w:lang w:val="en-IE"/>
        </w:rPr>
        <w:lastRenderedPageBreak/>
        <w:t xml:space="preserve">allogenic recharge into the karst aquifer imparts the catchment with a distinctive hydrochemical flux as well as unique hydrological </w:t>
      </w:r>
      <w:r w:rsidRPr="00B55484">
        <w:rPr>
          <w:szCs w:val="22"/>
          <w:lang w:val="en-IE"/>
        </w:rPr>
        <w:t xml:space="preserve">and ecological characteristics. </w:t>
      </w:r>
    </w:p>
    <w:p w:rsidR="00033DAE" w:rsidRPr="00E84941" w:rsidRDefault="00033DAE" w:rsidP="00033DAE">
      <w:pPr>
        <w:rPr>
          <w:szCs w:val="22"/>
          <w:lang w:val="en-IE"/>
        </w:rPr>
      </w:pPr>
    </w:p>
    <w:p w:rsidR="009301BE" w:rsidRDefault="00033DAE" w:rsidP="003D44C8">
      <w:pPr>
        <w:rPr>
          <w:szCs w:val="22"/>
          <w:lang w:val="en-IE"/>
        </w:rPr>
      </w:pPr>
      <w:r w:rsidRPr="00E84941">
        <w:rPr>
          <w:szCs w:val="22"/>
          <w:lang w:val="en-IE"/>
        </w:rPr>
        <w:t xml:space="preserve">Three main rivers run down the Slieve Aughty Mountains and into the carboniferous lowlands: </w:t>
      </w:r>
      <w:r w:rsidR="00B55484">
        <w:rPr>
          <w:szCs w:val="22"/>
          <w:lang w:val="en-IE"/>
        </w:rPr>
        <w:t>the Owenshree</w:t>
      </w:r>
      <w:r w:rsidR="009301BE">
        <w:rPr>
          <w:szCs w:val="22"/>
          <w:lang w:val="en-IE"/>
        </w:rPr>
        <w:t xml:space="preserve">, </w:t>
      </w:r>
      <w:r w:rsidR="00B55484">
        <w:rPr>
          <w:szCs w:val="22"/>
          <w:lang w:val="en-IE"/>
        </w:rPr>
        <w:t>the Ballycahalan</w:t>
      </w:r>
      <w:r w:rsidRPr="00E84941">
        <w:rPr>
          <w:szCs w:val="22"/>
          <w:lang w:val="en-IE"/>
        </w:rPr>
        <w:t xml:space="preserve"> and the Owendalulleegh (</w:t>
      </w:r>
      <w:r w:rsidR="009301BE">
        <w:rPr>
          <w:szCs w:val="22"/>
          <w:lang w:val="en-IE"/>
        </w:rPr>
        <w:t>o</w:t>
      </w:r>
      <w:r w:rsidRPr="00E84941">
        <w:rPr>
          <w:szCs w:val="22"/>
          <w:lang w:val="en-IE"/>
        </w:rPr>
        <w:t>r Derrywee</w:t>
      </w:r>
      <w:r w:rsidR="00127EEF">
        <w:rPr>
          <w:szCs w:val="22"/>
          <w:lang w:val="en-IE"/>
        </w:rPr>
        <w:t>, which goes on to feed the Beagh River</w:t>
      </w:r>
      <w:r w:rsidRPr="00E84941">
        <w:rPr>
          <w:szCs w:val="22"/>
          <w:lang w:val="en-IE"/>
        </w:rPr>
        <w:t>).</w:t>
      </w:r>
      <w:r w:rsidRPr="00E84941">
        <w:rPr>
          <w:szCs w:val="22"/>
          <w:shd w:val="clear" w:color="auto" w:fill="FFFFFF"/>
        </w:rPr>
        <w:t xml:space="preserve"> </w:t>
      </w:r>
      <w:r w:rsidR="009301BE" w:rsidRPr="005A249F">
        <w:rPr>
          <w:szCs w:val="22"/>
          <w:highlight w:val="cyan"/>
          <w:shd w:val="clear" w:color="auto" w:fill="FFFFFF"/>
        </w:rPr>
        <w:t xml:space="preserve">For the purposes of clarity these rivers shall hereafter be addresses as </w:t>
      </w:r>
      <w:r w:rsidR="00F26F00" w:rsidRPr="005A249F">
        <w:rPr>
          <w:szCs w:val="22"/>
          <w:highlight w:val="cyan"/>
          <w:shd w:val="clear" w:color="auto" w:fill="FFFFFF"/>
        </w:rPr>
        <w:t>‘</w:t>
      </w:r>
      <w:r w:rsidR="00816944" w:rsidRPr="005A249F">
        <w:rPr>
          <w:szCs w:val="22"/>
          <w:highlight w:val="cyan"/>
          <w:shd w:val="clear" w:color="auto" w:fill="FFFFFF"/>
        </w:rPr>
        <w:t>SA1</w:t>
      </w:r>
      <w:r w:rsidR="00F26F00" w:rsidRPr="005A249F">
        <w:rPr>
          <w:szCs w:val="22"/>
          <w:highlight w:val="cyan"/>
          <w:shd w:val="clear" w:color="auto" w:fill="FFFFFF"/>
        </w:rPr>
        <w:t>’</w:t>
      </w:r>
      <w:r w:rsidR="009301BE" w:rsidRPr="005A249F">
        <w:rPr>
          <w:szCs w:val="22"/>
          <w:highlight w:val="cyan"/>
          <w:shd w:val="clear" w:color="auto" w:fill="FFFFFF"/>
        </w:rPr>
        <w:t xml:space="preserve">, </w:t>
      </w:r>
      <w:r w:rsidR="00F26F00" w:rsidRPr="005A249F">
        <w:rPr>
          <w:szCs w:val="22"/>
          <w:highlight w:val="cyan"/>
          <w:shd w:val="clear" w:color="auto" w:fill="FFFFFF"/>
        </w:rPr>
        <w:t>‘</w:t>
      </w:r>
      <w:r w:rsidR="00816944" w:rsidRPr="005A249F">
        <w:rPr>
          <w:szCs w:val="22"/>
          <w:highlight w:val="cyan"/>
          <w:shd w:val="clear" w:color="auto" w:fill="FFFFFF"/>
        </w:rPr>
        <w:t>SA2</w:t>
      </w:r>
      <w:r w:rsidR="00F26F00" w:rsidRPr="005A249F">
        <w:rPr>
          <w:szCs w:val="22"/>
          <w:highlight w:val="cyan"/>
          <w:shd w:val="clear" w:color="auto" w:fill="FFFFFF"/>
        </w:rPr>
        <w:t>’</w:t>
      </w:r>
      <w:r w:rsidR="009301BE" w:rsidRPr="005A249F">
        <w:rPr>
          <w:szCs w:val="22"/>
          <w:highlight w:val="cyan"/>
          <w:shd w:val="clear" w:color="auto" w:fill="FFFFFF"/>
        </w:rPr>
        <w:t xml:space="preserve"> and </w:t>
      </w:r>
      <w:r w:rsidR="00F26F00" w:rsidRPr="005A249F">
        <w:rPr>
          <w:szCs w:val="22"/>
          <w:highlight w:val="cyan"/>
          <w:shd w:val="clear" w:color="auto" w:fill="FFFFFF"/>
        </w:rPr>
        <w:t>‘</w:t>
      </w:r>
      <w:r w:rsidR="00816944" w:rsidRPr="005A249F">
        <w:rPr>
          <w:szCs w:val="22"/>
          <w:highlight w:val="cyan"/>
          <w:shd w:val="clear" w:color="auto" w:fill="FFFFFF"/>
        </w:rPr>
        <w:t>SA3</w:t>
      </w:r>
      <w:r w:rsidR="00F26F00" w:rsidRPr="005A249F">
        <w:rPr>
          <w:szCs w:val="22"/>
          <w:highlight w:val="cyan"/>
          <w:shd w:val="clear" w:color="auto" w:fill="FFFFFF"/>
        </w:rPr>
        <w:t>’</w:t>
      </w:r>
      <w:r w:rsidR="009301BE" w:rsidRPr="005A249F">
        <w:rPr>
          <w:szCs w:val="22"/>
          <w:highlight w:val="cyan"/>
          <w:shd w:val="clear" w:color="auto" w:fill="FFFFFF"/>
        </w:rPr>
        <w:t xml:space="preserve"> respectively (and </w:t>
      </w:r>
      <w:r w:rsidR="00816944" w:rsidRPr="005A249F">
        <w:rPr>
          <w:szCs w:val="22"/>
          <w:highlight w:val="cyan"/>
          <w:shd w:val="clear" w:color="auto" w:fill="FFFFFF"/>
        </w:rPr>
        <w:t>SA4</w:t>
      </w:r>
      <w:r w:rsidR="009301BE" w:rsidRPr="005A249F">
        <w:rPr>
          <w:szCs w:val="22"/>
          <w:highlight w:val="cyan"/>
          <w:shd w:val="clear" w:color="auto" w:fill="FFFFFF"/>
        </w:rPr>
        <w:t xml:space="preserve"> for the Beagh River section)</w:t>
      </w:r>
      <w:r w:rsidR="00F26F00" w:rsidRPr="005A249F">
        <w:rPr>
          <w:szCs w:val="22"/>
          <w:highlight w:val="cyan"/>
          <w:shd w:val="clear" w:color="auto" w:fill="FFFFFF"/>
        </w:rPr>
        <w:t>.</w:t>
      </w:r>
      <w:r w:rsidR="00F26F00">
        <w:rPr>
          <w:szCs w:val="22"/>
          <w:shd w:val="clear" w:color="auto" w:fill="FFFFFF"/>
        </w:rPr>
        <w:t xml:space="preserve"> </w:t>
      </w:r>
      <w:r w:rsidR="00B55484">
        <w:rPr>
          <w:szCs w:val="22"/>
          <w:lang w:val="en-IE"/>
        </w:rPr>
        <w:t xml:space="preserve">These rivers supply </w:t>
      </w:r>
      <w:r w:rsidR="00B55484" w:rsidRPr="009301BE">
        <w:rPr>
          <w:szCs w:val="22"/>
          <w:highlight w:val="yellow"/>
          <w:lang w:val="en-IE" w:eastAsia="en-GB"/>
        </w:rPr>
        <w:t>chemically-</w:t>
      </w:r>
      <w:r w:rsidR="009301BE" w:rsidRPr="009301BE">
        <w:rPr>
          <w:szCs w:val="22"/>
          <w:highlight w:val="yellow"/>
          <w:lang w:val="en-IE" w:eastAsia="en-GB"/>
        </w:rPr>
        <w:t>corrosive</w:t>
      </w:r>
      <w:r w:rsidR="00B55484" w:rsidRPr="009301BE">
        <w:rPr>
          <w:szCs w:val="22"/>
          <w:lang w:val="en-IE" w:eastAsia="en-GB"/>
        </w:rPr>
        <w:t xml:space="preserve"> </w:t>
      </w:r>
      <w:r w:rsidR="00B55484">
        <w:rPr>
          <w:szCs w:val="22"/>
          <w:lang w:val="en-IE"/>
        </w:rPr>
        <w:t xml:space="preserve">acidic </w:t>
      </w:r>
      <w:r w:rsidR="00B55484">
        <w:rPr>
          <w:szCs w:val="22"/>
          <w:lang w:val="en-IE" w:eastAsia="en-GB"/>
        </w:rPr>
        <w:t xml:space="preserve">waters derived from </w:t>
      </w:r>
      <w:r w:rsidR="00B55484">
        <w:rPr>
          <w:szCs w:val="22"/>
          <w:lang w:val="en-IE"/>
        </w:rPr>
        <w:t xml:space="preserve">the peaty </w:t>
      </w:r>
      <w:r w:rsidR="00B55484">
        <w:rPr>
          <w:szCs w:val="22"/>
          <w:lang w:val="en-IE" w:eastAsia="en-GB"/>
        </w:rPr>
        <w:t xml:space="preserve">non-carbonate </w:t>
      </w:r>
      <w:r w:rsidR="00B55484">
        <w:rPr>
          <w:szCs w:val="22"/>
          <w:lang w:val="en-IE"/>
        </w:rPr>
        <w:t>catchment</w:t>
      </w:r>
      <w:r w:rsidR="004F649E">
        <w:rPr>
          <w:szCs w:val="22"/>
          <w:lang w:val="en-IE"/>
        </w:rPr>
        <w:t>s</w:t>
      </w:r>
      <w:r w:rsidR="00B55484">
        <w:rPr>
          <w:szCs w:val="22"/>
          <w:lang w:val="en-IE"/>
        </w:rPr>
        <w:t xml:space="preserve"> of the Mountains</w:t>
      </w:r>
      <w:r w:rsidR="00B55484">
        <w:rPr>
          <w:szCs w:val="22"/>
          <w:lang w:val="en-IE" w:eastAsia="en-GB"/>
        </w:rPr>
        <w:t xml:space="preserve"> </w:t>
      </w:r>
      <w:r w:rsidR="00B55484">
        <w:rPr>
          <w:szCs w:val="22"/>
          <w:lang w:val="en-IE"/>
        </w:rPr>
        <w:t xml:space="preserve">into the lowlands which have rapidly influenced karst development in the region, and the development of a complex network of sinking streams, conduits and ephemeral lakes known as turloughs. </w:t>
      </w:r>
    </w:p>
    <w:p w:rsidR="00F26F00" w:rsidRPr="00451170" w:rsidRDefault="00F26F00" w:rsidP="003D44C8">
      <w:pPr>
        <w:rPr>
          <w:szCs w:val="22"/>
          <w:lang w:val="en-IE"/>
        </w:rPr>
      </w:pPr>
    </w:p>
    <w:p w:rsidR="00E00FFB" w:rsidRDefault="00B55484" w:rsidP="003D44C8">
      <w:pPr>
        <w:rPr>
          <w:szCs w:val="22"/>
          <w:lang w:val="en-IE"/>
        </w:rPr>
      </w:pPr>
      <w:r>
        <w:rPr>
          <w:szCs w:val="22"/>
          <w:lang w:val="en-IE"/>
        </w:rPr>
        <w:t xml:space="preserve">In the Gort Lowlands, turloughs form a key component of the hydrological regime, offering a zone of temporary storage for water surcharging out of the active conduit network. Numerous turloughs are present within the Gort Lowlands but five turloughs in particular (Blackrock, Coy, Coole, Garryland and Caherglassaun) are known to be highly influential upon the active conduit network (see </w:t>
      </w:r>
      <w:r>
        <w:rPr>
          <w:szCs w:val="22"/>
          <w:lang w:val="en-IE"/>
        </w:rPr>
        <w:fldChar w:fldCharType="begin"/>
      </w:r>
      <w:r>
        <w:rPr>
          <w:szCs w:val="22"/>
          <w:lang w:val="en-IE"/>
        </w:rPr>
        <w:instrText xml:space="preserve"> REF _Ref385497073 \h  \* MERGEFORMAT </w:instrText>
      </w:r>
      <w:r>
        <w:rPr>
          <w:szCs w:val="22"/>
          <w:lang w:val="en-IE"/>
        </w:rPr>
      </w:r>
      <w:r>
        <w:rPr>
          <w:szCs w:val="22"/>
          <w:lang w:val="en-IE"/>
        </w:rPr>
        <w:fldChar w:fldCharType="separate"/>
      </w:r>
      <w:r w:rsidR="00E40475" w:rsidRPr="00E40475">
        <w:rPr>
          <w:szCs w:val="22"/>
        </w:rPr>
        <w:t xml:space="preserve">Figure </w:t>
      </w:r>
      <w:r w:rsidR="00E40475" w:rsidRPr="00E40475">
        <w:rPr>
          <w:noProof/>
          <w:szCs w:val="22"/>
        </w:rPr>
        <w:t>1</w:t>
      </w:r>
      <w:r>
        <w:rPr>
          <w:szCs w:val="22"/>
          <w:lang w:val="en-IE"/>
        </w:rPr>
        <w:fldChar w:fldCharType="end"/>
      </w:r>
      <w:r>
        <w:rPr>
          <w:szCs w:val="22"/>
          <w:lang w:val="en-IE"/>
        </w:rPr>
        <w:t>).</w:t>
      </w:r>
    </w:p>
    <w:p w:rsidR="00E00FFB" w:rsidRDefault="00E00FFB" w:rsidP="003D44C8">
      <w:pPr>
        <w:rPr>
          <w:szCs w:val="22"/>
          <w:lang w:val="en-IE"/>
        </w:rPr>
      </w:pPr>
    </w:p>
    <w:p w:rsidR="00B55484" w:rsidRDefault="00B55484" w:rsidP="00B55484">
      <w:pPr>
        <w:rPr>
          <w:szCs w:val="22"/>
          <w:lang w:val="en-IE"/>
        </w:rPr>
      </w:pPr>
      <w:r>
        <w:rPr>
          <w:szCs w:val="22"/>
          <w:lang w:val="en-IE"/>
        </w:rPr>
        <w:t>Many turloughs across Ireland (over 400 are known to exist) are situated in diffuse/epikarst type karst aquifers dominated by slow moving matrix/fracture type flow</w:t>
      </w:r>
      <w:r w:rsidRPr="00227CEC">
        <w:rPr>
          <w:szCs w:val="22"/>
          <w:lang w:val="en-IE"/>
        </w:rPr>
        <w:t>. In the Gort Lowlands however, the chemically-</w:t>
      </w:r>
      <w:r w:rsidR="00F26F00">
        <w:rPr>
          <w:szCs w:val="22"/>
          <w:lang w:val="en-IE"/>
        </w:rPr>
        <w:t>corrosive</w:t>
      </w:r>
      <w:r w:rsidRPr="00227CEC">
        <w:rPr>
          <w:szCs w:val="22"/>
          <w:lang w:val="en-IE"/>
        </w:rPr>
        <w:t xml:space="preserve"> allogenic recharge has </w:t>
      </w:r>
      <w:r w:rsidR="00227CEC" w:rsidRPr="00227CEC">
        <w:rPr>
          <w:szCs w:val="22"/>
          <w:lang w:val="en-IE"/>
        </w:rPr>
        <w:t>contributed to the development</w:t>
      </w:r>
      <w:r w:rsidRPr="00227CEC">
        <w:rPr>
          <w:szCs w:val="22"/>
          <w:lang w:val="en-IE"/>
        </w:rPr>
        <w:t xml:space="preserve"> </w:t>
      </w:r>
      <w:r w:rsidR="00227CEC" w:rsidRPr="00227CEC">
        <w:rPr>
          <w:szCs w:val="22"/>
          <w:lang w:val="en-IE"/>
        </w:rPr>
        <w:t>of a complex</w:t>
      </w:r>
      <w:r w:rsidRPr="00227CEC">
        <w:rPr>
          <w:szCs w:val="22"/>
          <w:lang w:val="en-IE"/>
        </w:rPr>
        <w:t xml:space="preserve"> conduit network </w:t>
      </w:r>
      <w:r w:rsidR="00227CEC">
        <w:rPr>
          <w:szCs w:val="22"/>
          <w:lang w:val="en-IE"/>
        </w:rPr>
        <w:t>with</w:t>
      </w:r>
      <w:r w:rsidR="00227CEC" w:rsidRPr="00227CEC">
        <w:rPr>
          <w:szCs w:val="22"/>
          <w:lang w:val="en-IE"/>
        </w:rPr>
        <w:t xml:space="preserve"> relatively</w:t>
      </w:r>
      <w:r w:rsidRPr="00227CEC">
        <w:rPr>
          <w:szCs w:val="22"/>
          <w:lang w:val="en-IE"/>
        </w:rPr>
        <w:t xml:space="preserve"> high flow rates. The five turlo</w:t>
      </w:r>
      <w:r>
        <w:rPr>
          <w:szCs w:val="22"/>
          <w:lang w:val="en-IE"/>
        </w:rPr>
        <w:t xml:space="preserve">ughs within the network are all relatively eutrophic </w:t>
      </w:r>
      <w:r w:rsidR="00736F6B">
        <w:rPr>
          <w:szCs w:val="22"/>
          <w:lang w:val="en-IE"/>
        </w:rPr>
        <w:t xml:space="preserve">and deep </w:t>
      </w:r>
      <w:r>
        <w:rPr>
          <w:szCs w:val="22"/>
          <w:lang w:val="en-IE"/>
        </w:rPr>
        <w:t>in comparison to other turloughs around Ireland</w:t>
      </w:r>
      <w:r w:rsidR="00736F6B">
        <w:rPr>
          <w:szCs w:val="22"/>
          <w:lang w:val="en-IE"/>
        </w:rPr>
        <w:t xml:space="preserve"> </w:t>
      </w:r>
      <w:r>
        <w:rPr>
          <w:szCs w:val="22"/>
          <w:lang w:val="en-IE"/>
        </w:rPr>
        <w:t>and are underlain by non-alluvial mineral soil types (of relatively low CaCO</w:t>
      </w:r>
      <w:r>
        <w:rPr>
          <w:szCs w:val="22"/>
          <w:vertAlign w:val="subscript"/>
          <w:lang w:val="en-IE"/>
        </w:rPr>
        <w:t>3</w:t>
      </w:r>
      <w:r>
        <w:rPr>
          <w:szCs w:val="22"/>
          <w:lang w:val="en-IE"/>
        </w:rPr>
        <w:t xml:space="preserve"> concentration) compared to the organic and </w:t>
      </w:r>
      <w:proofErr w:type="spellStart"/>
      <w:r>
        <w:rPr>
          <w:szCs w:val="22"/>
          <w:lang w:val="en-IE"/>
        </w:rPr>
        <w:t>marly</w:t>
      </w:r>
      <w:proofErr w:type="spellEnd"/>
      <w:r>
        <w:rPr>
          <w:szCs w:val="22"/>
          <w:lang w:val="en-IE"/>
        </w:rPr>
        <w:t xml:space="preserve"> soil types generally associated with turloughs of longer periods of inundation </w:t>
      </w:r>
      <w:r>
        <w:rPr>
          <w:szCs w:val="22"/>
          <w:lang w:val="en-IE"/>
        </w:rPr>
        <w:fldChar w:fldCharType="begin"/>
      </w:r>
      <w:r>
        <w:rPr>
          <w:szCs w:val="22"/>
          <w:lang w:val="en-IE"/>
        </w:rPr>
        <w:instrText xml:space="preserve"> ADDIN EN.CITE &lt;EndNote&gt;&lt;Cite&gt;&lt;Author&gt;Kimberley&lt;/Author&gt;&lt;Year&gt;2012&lt;/Year&gt;&lt;RecNum&gt;347&lt;/RecNum&gt;&lt;DisplayText&gt;(Kimberley et al., 2012)&lt;/DisplayText&gt;&lt;record&gt;&lt;rec-number&gt;347&lt;/rec-number&gt;&lt;foreign-keys&gt;&lt;key app="EN" db-id="dswvr2vdivtsvfepswzvft9gtsxe5zxfaavp" timestamp="1355193058"&gt;347&lt;/key&gt;&lt;/foreign-keys&gt;&lt;ref-type name="Journal Article"&gt;17&lt;/ref-type&gt;&lt;contributors&gt;&lt;authors&gt;&lt;author&gt;Kimberley, Sarah&lt;/author&gt;&lt;author&gt;Naughton, Owen&lt;/author&gt;&lt;author&gt;Johnston, Paul&lt;/author&gt;&lt;author&gt;Gill, Laurence&lt;/author&gt;&lt;author&gt;Waldren, Steve&lt;/author&gt;&lt;/authors&gt;&lt;/contributors&gt;&lt;titles&gt;&lt;title&gt;The influence of flood duration on the surface soil properties and grazing management of karst wetlands (turloughs) in Ireland&lt;/title&gt;&lt;secondary-title&gt;Hydrobiologia&lt;/secondary-title&gt;&lt;alt-title&gt;Hydrobiologia&lt;/alt-title&gt;&lt;/titles&gt;&lt;periodical&gt;&lt;full-title&gt;Hydrobiologia&lt;/full-title&gt;&lt;/periodical&gt;&lt;alt-periodical&gt;&lt;full-title&gt;Hydrobiologia&lt;/full-title&gt;&lt;/alt-periodical&gt;&lt;pages&gt;29-40&lt;/pages&gt;&lt;volume&gt;692&lt;/volume&gt;&lt;number&gt;1&lt;/number&gt;&lt;keywords&gt;&lt;keyword&gt;Irish turloughs&lt;/keyword&gt;&lt;keyword&gt;Soil nutrient properties&lt;/keyword&gt;&lt;keyword&gt;Land use&lt;/keyword&gt;&lt;keyword&gt;Flood duration&lt;/keyword&gt;&lt;keyword&gt;Flood frequency&lt;/keyword&gt;&lt;/keywords&gt;&lt;dates&gt;&lt;year&gt;2012&lt;/year&gt;&lt;pub-dates&gt;&lt;date&gt;2012/08/01&lt;/date&gt;&lt;/pub-dates&gt;&lt;/dates&gt;&lt;publisher&gt;Springer Netherlands&lt;/publisher&gt;&lt;isbn&gt;0018-8158&lt;/isbn&gt;&lt;urls&gt;&lt;related-urls&gt;&lt;url&gt;http://dx.doi.org/10.1007/s10750-012-1000-9&lt;/url&gt;&lt;/related-urls&gt;&lt;/urls&gt;&lt;electronic-resource-num&gt;10.1007/s10750-012-1000-9&lt;/electronic-resource-num&gt;&lt;language&gt;English&lt;/language&gt;&lt;/record&gt;&lt;/Cite&gt;&lt;/EndNote&gt;</w:instrText>
      </w:r>
      <w:r>
        <w:rPr>
          <w:szCs w:val="22"/>
          <w:lang w:val="en-IE"/>
        </w:rPr>
        <w:fldChar w:fldCharType="separate"/>
      </w:r>
      <w:r>
        <w:rPr>
          <w:szCs w:val="22"/>
          <w:lang w:val="en-IE"/>
        </w:rPr>
        <w:t>(</w:t>
      </w:r>
      <w:hyperlink w:anchor="_ENREF_21" w:tooltip="Kimberley, 2012 #347" w:history="1">
        <w:r w:rsidR="006B35EC" w:rsidRPr="00736F6B">
          <w:t>Kimberley et al., 2012</w:t>
        </w:r>
      </w:hyperlink>
      <w:r>
        <w:rPr>
          <w:szCs w:val="22"/>
          <w:lang w:val="en-IE"/>
        </w:rPr>
        <w:t>)</w:t>
      </w:r>
      <w:r>
        <w:rPr>
          <w:szCs w:val="22"/>
          <w:lang w:val="en-IE"/>
        </w:rPr>
        <w:fldChar w:fldCharType="end"/>
      </w:r>
      <w:r>
        <w:rPr>
          <w:szCs w:val="22"/>
          <w:lang w:val="en-IE"/>
        </w:rPr>
        <w:t xml:space="preserve">. </w:t>
      </w:r>
    </w:p>
    <w:p w:rsidR="009C1CED" w:rsidRDefault="009C1CED" w:rsidP="00871DFC">
      <w:pPr>
        <w:rPr>
          <w:szCs w:val="22"/>
          <w:lang w:val="en-IE"/>
        </w:rPr>
      </w:pPr>
    </w:p>
    <w:p w:rsidR="00247D76" w:rsidRPr="00C34086" w:rsidRDefault="00247D76" w:rsidP="00247D76">
      <w:pPr>
        <w:rPr>
          <w:szCs w:val="22"/>
          <w:lang w:val="en-IE"/>
        </w:rPr>
      </w:pPr>
      <w:r>
        <w:rPr>
          <w:szCs w:val="22"/>
          <w:lang w:val="en-IE"/>
        </w:rPr>
        <w:t xml:space="preserve">The responsiveness of a turlough to rainfall is predominantly due to its hydrological functioning </w:t>
      </w:r>
      <w:r>
        <w:rPr>
          <w:szCs w:val="22"/>
          <w:lang w:val="en-IE"/>
        </w:rPr>
        <w:fldChar w:fldCharType="begin"/>
      </w:r>
      <w:r>
        <w:rPr>
          <w:szCs w:val="22"/>
          <w:lang w:val="en-IE"/>
        </w:rPr>
        <w:instrText xml:space="preserve"> ADDIN EN.CITE &lt;EndNote&gt;&lt;Cite&gt;&lt;Author&gt;Naughton&lt;/Author&gt;&lt;Year&gt;2012&lt;/Year&gt;&lt;RecNum&gt;321&lt;/RecNum&gt;&lt;DisplayText&gt;(Naughton et al., 2012)&lt;/DisplayText&gt;&lt;record&gt;&lt;rec-number&gt;321&lt;/rec-number&gt;&lt;foreign-keys&gt;&lt;key app="EN" db-id="dswvr2vdivtsvfepswzvft9gtsxe5zxfaavp" timestamp="1353617545"&gt;321&lt;/key&gt;&lt;/foreign-keys&gt;&lt;ref-type name="Journal Article"&gt;17&lt;/ref-type&gt;&lt;contributors&gt;&lt;authors&gt;&lt;author&gt;Naughton, O.&lt;/author&gt;&lt;author&gt;Johnston, P. M.&lt;/author&gt;&lt;author&gt;Gill, L.W.&lt;/author&gt;&lt;/authors&gt;&lt;/contributors&gt;&lt;titles&gt;&lt;title&gt;Groundwater flooding in Irish karst: The hydrological characterisation of ephemeral lakes (turloughs)&lt;/title&gt;&lt;secondary-title&gt;Journal of Hydrology&lt;/secondary-title&gt;&lt;/titles&gt;&lt;periodical&gt;&lt;full-title&gt;Journal of Hydrology&lt;/full-title&gt;&lt;/periodical&gt;&lt;pages&gt;82-97&lt;/pages&gt;&lt;volume&gt;470–471&lt;/volume&gt;&lt;number&gt;0&lt;/number&gt;&lt;keywords&gt;&lt;keyword&gt;Groundwater flooding&lt;/keyword&gt;&lt;keyword&gt;Karst&lt;/keyword&gt;&lt;keyword&gt;Turlough hydrology&lt;/keyword&gt;&lt;keyword&gt;Groundwater dependent terrestrial ecosystems&lt;/keyword&gt;&lt;/keywords&gt;&lt;dates&gt;&lt;year&gt;2012&lt;/year&gt;&lt;/dates&gt;&lt;isbn&gt;0022-1694&lt;/isbn&gt;&lt;urls&gt;&lt;related-urls&gt;&lt;url&gt;http://www.sciencedirect.com/science/article/pii/S0022169412006919&lt;/url&gt;&lt;/related-urls&gt;&lt;/urls&gt;&lt;electronic-resource-num&gt;10.1016/j.jhydrol.2012.08.012&lt;/electronic-resource-num&gt;&lt;/record&gt;&lt;/Cite&gt;&lt;/EndNote&gt;</w:instrText>
      </w:r>
      <w:r>
        <w:rPr>
          <w:szCs w:val="22"/>
          <w:lang w:val="en-IE"/>
        </w:rPr>
        <w:fldChar w:fldCharType="separate"/>
      </w:r>
      <w:r>
        <w:rPr>
          <w:szCs w:val="22"/>
          <w:lang w:val="en-IE"/>
        </w:rPr>
        <w:t>(</w:t>
      </w:r>
      <w:hyperlink w:anchor="_ENREF_27" w:tooltip="Naughton, 2012 #321" w:history="1">
        <w:r w:rsidR="006B35EC" w:rsidRPr="00736F6B">
          <w:t>Naughton et al., 2012</w:t>
        </w:r>
      </w:hyperlink>
      <w:r>
        <w:rPr>
          <w:szCs w:val="22"/>
          <w:lang w:val="en-IE"/>
        </w:rPr>
        <w:t>)</w:t>
      </w:r>
      <w:r>
        <w:rPr>
          <w:szCs w:val="22"/>
          <w:lang w:val="en-IE"/>
        </w:rPr>
        <w:fldChar w:fldCharType="end"/>
      </w:r>
      <w:r>
        <w:rPr>
          <w:szCs w:val="22"/>
          <w:lang w:val="en-IE"/>
        </w:rPr>
        <w:t xml:space="preserve"> and turloughs can be divided conceptually into three groups: </w:t>
      </w:r>
      <w:r w:rsidRPr="00736F6B">
        <w:rPr>
          <w:szCs w:val="22"/>
          <w:lang w:val="en-IE"/>
        </w:rPr>
        <w:t>diffuse flow-flow through</w:t>
      </w:r>
      <w:r>
        <w:rPr>
          <w:szCs w:val="22"/>
          <w:lang w:val="en-IE"/>
        </w:rPr>
        <w:t xml:space="preserve">, </w:t>
      </w:r>
      <w:r w:rsidRPr="00736F6B">
        <w:rPr>
          <w:szCs w:val="22"/>
          <w:lang w:val="en-IE"/>
        </w:rPr>
        <w:t>river flow-through</w:t>
      </w:r>
      <w:r>
        <w:rPr>
          <w:szCs w:val="22"/>
          <w:lang w:val="en-IE"/>
        </w:rPr>
        <w:t xml:space="preserve"> and </w:t>
      </w:r>
      <w:r w:rsidRPr="00736F6B">
        <w:rPr>
          <w:szCs w:val="22"/>
          <w:lang w:val="en-IE"/>
        </w:rPr>
        <w:t>surcharge tank systems</w:t>
      </w:r>
      <w:r>
        <w:rPr>
          <w:szCs w:val="22"/>
          <w:lang w:val="en-IE"/>
        </w:rPr>
        <w:t xml:space="preserve">  as shown in </w:t>
      </w:r>
      <w:r>
        <w:rPr>
          <w:szCs w:val="22"/>
          <w:lang w:val="en-IE"/>
        </w:rPr>
        <w:fldChar w:fldCharType="begin"/>
      </w:r>
      <w:r>
        <w:rPr>
          <w:szCs w:val="22"/>
          <w:lang w:val="en-IE"/>
        </w:rPr>
        <w:instrText xml:space="preserve"> REF _Ref380426820 \h  \* MERGEFORMAT </w:instrText>
      </w:r>
      <w:r>
        <w:rPr>
          <w:szCs w:val="22"/>
          <w:lang w:val="en-IE"/>
        </w:rPr>
      </w:r>
      <w:r>
        <w:rPr>
          <w:szCs w:val="22"/>
          <w:lang w:val="en-IE"/>
        </w:rPr>
        <w:fldChar w:fldCharType="separate"/>
      </w:r>
      <w:r w:rsidR="00E40475" w:rsidRPr="00E40475">
        <w:rPr>
          <w:szCs w:val="22"/>
          <w:lang w:val="en-IE"/>
        </w:rPr>
        <w:t>Figure 2</w:t>
      </w:r>
      <w:r>
        <w:rPr>
          <w:szCs w:val="22"/>
          <w:lang w:val="en-IE"/>
        </w:rPr>
        <w:fldChar w:fldCharType="end"/>
      </w:r>
      <w:r>
        <w:rPr>
          <w:szCs w:val="22"/>
          <w:lang w:val="en-IE"/>
        </w:rPr>
        <w:t xml:space="preserve">. The majority of turloughs in Ireland are thought to behave as </w:t>
      </w:r>
      <w:r w:rsidRPr="00736F6B">
        <w:rPr>
          <w:szCs w:val="22"/>
          <w:lang w:val="en-IE"/>
        </w:rPr>
        <w:t>diffuse flow-through</w:t>
      </w:r>
      <w:r>
        <w:rPr>
          <w:szCs w:val="22"/>
          <w:lang w:val="en-IE"/>
        </w:rPr>
        <w:t xml:space="preserve"> systems </w:t>
      </w:r>
      <w:r>
        <w:rPr>
          <w:szCs w:val="22"/>
          <w:lang w:val="en-IE"/>
        </w:rPr>
        <w:fldChar w:fldCharType="begin"/>
      </w:r>
      <w:r>
        <w:rPr>
          <w:szCs w:val="22"/>
          <w:lang w:val="en-IE"/>
        </w:rPr>
        <w:instrText xml:space="preserve"> ADDIN EN.CITE &lt;EndNote&gt;&lt;Cite&gt;&lt;Author&gt;Cunha Pereira&lt;/Author&gt;&lt;Year&gt;2011&lt;/Year&gt;&lt;RecNum&gt;444&lt;/RecNum&gt;&lt;DisplayText&gt;(Cunha Pereira, 2011)&lt;/DisplayText&gt;&lt;record&gt;&lt;rec-number&gt;444&lt;/rec-number&gt;&lt;foreign-keys&gt;&lt;key app="EN" db-id="dswvr2vdivtsvfepswzvft9gtsxe5zxfaavp" timestamp="1372780081"&gt;444&lt;/key&gt;&lt;/foreign-keys&gt;&lt;ref-type name="Thesis"&gt;32&lt;/ref-type&gt;&lt;contributors&gt;&lt;authors&gt;&lt;author&gt;Cunha Pereira, H.&lt;/author&gt;&lt;/authors&gt;&lt;/contributors&gt;&lt;titles&gt;&lt;title&gt;Hydrochemistry and Algal Communities of Turloughs (Karst Seasonal Lakes)&lt;/title&gt;&lt;secondary-title&gt;Centre for the Environment&lt;/secondary-title&gt;&lt;/titles&gt;&lt;dates&gt;&lt;year&gt;2011&lt;/year&gt;&lt;/dates&gt;&lt;publisher&gt;Trinity College Dublin&lt;/publisher&gt;&lt;work-type&gt;PhD&lt;/work-type&gt;&lt;urls&gt;&lt;/urls&gt;&lt;/record&gt;&lt;/Cite&gt;&lt;/EndNote&gt;</w:instrText>
      </w:r>
      <w:r>
        <w:rPr>
          <w:szCs w:val="22"/>
          <w:lang w:val="en-IE"/>
        </w:rPr>
        <w:fldChar w:fldCharType="separate"/>
      </w:r>
      <w:r>
        <w:rPr>
          <w:szCs w:val="22"/>
          <w:lang w:val="en-IE"/>
        </w:rPr>
        <w:t>(</w:t>
      </w:r>
      <w:hyperlink w:anchor="_ENREF_7" w:tooltip="Cunha Pereira, 2011 #444" w:history="1">
        <w:r w:rsidR="006B35EC" w:rsidRPr="00736F6B">
          <w:t>Cunha Pereira, 2011</w:t>
        </w:r>
      </w:hyperlink>
      <w:r>
        <w:rPr>
          <w:szCs w:val="22"/>
          <w:lang w:val="en-IE"/>
        </w:rPr>
        <w:t>)</w:t>
      </w:r>
      <w:r>
        <w:rPr>
          <w:szCs w:val="22"/>
          <w:lang w:val="en-IE"/>
        </w:rPr>
        <w:fldChar w:fldCharType="end"/>
      </w:r>
      <w:r>
        <w:rPr>
          <w:szCs w:val="22"/>
          <w:lang w:val="en-IE"/>
        </w:rPr>
        <w:t xml:space="preserve"> with the flux of water through the turlough from the surrounding epikarst entering and exiting relatively slowly (see </w:t>
      </w:r>
      <w:r>
        <w:rPr>
          <w:szCs w:val="22"/>
          <w:lang w:val="en-IE"/>
        </w:rPr>
        <w:fldChar w:fldCharType="begin"/>
      </w:r>
      <w:r>
        <w:rPr>
          <w:szCs w:val="22"/>
          <w:lang w:val="en-IE"/>
        </w:rPr>
        <w:instrText xml:space="preserve"> REF _Ref380426820 \h  \* MERGEFORMAT </w:instrText>
      </w:r>
      <w:r>
        <w:rPr>
          <w:szCs w:val="22"/>
          <w:lang w:val="en-IE"/>
        </w:rPr>
      </w:r>
      <w:r>
        <w:rPr>
          <w:szCs w:val="22"/>
          <w:lang w:val="en-IE"/>
        </w:rPr>
        <w:fldChar w:fldCharType="separate"/>
      </w:r>
      <w:r w:rsidR="00E40475" w:rsidRPr="00E40475">
        <w:rPr>
          <w:szCs w:val="22"/>
          <w:lang w:val="en-IE"/>
        </w:rPr>
        <w:t>Figure 2</w:t>
      </w:r>
      <w:r>
        <w:rPr>
          <w:szCs w:val="22"/>
          <w:lang w:val="en-IE"/>
        </w:rPr>
        <w:fldChar w:fldCharType="end"/>
      </w:r>
      <w:r>
        <w:rPr>
          <w:szCs w:val="22"/>
          <w:lang w:val="en-IE"/>
        </w:rPr>
        <w:t xml:space="preserve">a). </w:t>
      </w:r>
    </w:p>
    <w:p w:rsidR="003A1E8E" w:rsidRDefault="003A1E8E" w:rsidP="00871DFC">
      <w:pPr>
        <w:rPr>
          <w:szCs w:val="22"/>
          <w:lang w:val="en-IE"/>
        </w:rPr>
      </w:pPr>
    </w:p>
    <w:p w:rsidR="00736F6B" w:rsidRDefault="00736F6B" w:rsidP="00736F6B">
      <w:pPr>
        <w:rPr>
          <w:szCs w:val="22"/>
          <w:lang w:val="en-IE"/>
        </w:rPr>
      </w:pPr>
      <w:r>
        <w:rPr>
          <w:szCs w:val="22"/>
          <w:lang w:val="en-IE"/>
        </w:rPr>
        <w:lastRenderedPageBreak/>
        <w:t xml:space="preserve">In the Gort Lowlands however, the developed conduit system results in turloughs operating more akin </w:t>
      </w:r>
      <w:r w:rsidRPr="00247D76">
        <w:rPr>
          <w:szCs w:val="22"/>
          <w:lang w:val="en-IE"/>
        </w:rPr>
        <w:t>to</w:t>
      </w:r>
      <w:r>
        <w:rPr>
          <w:i/>
          <w:szCs w:val="22"/>
          <w:lang w:val="en-IE"/>
        </w:rPr>
        <w:t xml:space="preserve"> river flow-through</w:t>
      </w:r>
      <w:r>
        <w:rPr>
          <w:szCs w:val="22"/>
          <w:lang w:val="en-IE"/>
        </w:rPr>
        <w:t xml:space="preserve"> and </w:t>
      </w:r>
      <w:r>
        <w:rPr>
          <w:i/>
          <w:szCs w:val="22"/>
          <w:lang w:val="en-IE"/>
        </w:rPr>
        <w:t>surcharge tank</w:t>
      </w:r>
      <w:r>
        <w:rPr>
          <w:szCs w:val="22"/>
          <w:lang w:val="en-IE"/>
        </w:rPr>
        <w:t xml:space="preserve"> systems</w:t>
      </w:r>
      <w:r w:rsidR="00575CDF">
        <w:rPr>
          <w:szCs w:val="22"/>
          <w:lang w:val="en-IE"/>
        </w:rPr>
        <w:t xml:space="preserve"> </w:t>
      </w:r>
      <w:r w:rsidR="00575CDF" w:rsidRPr="00CA6B4F">
        <w:rPr>
          <w:szCs w:val="22"/>
          <w:highlight w:val="yellow"/>
          <w:lang w:val="en-IE"/>
        </w:rPr>
        <w:fldChar w:fldCharType="begin">
          <w:fldData xml:space="preserve">PEVuZE5vdGU+PENpdGU+PEF1dGhvcj5HaWxsPC9BdXRob3I+PFllYXI+MjAxMzwvWWVhcj48UmVj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</w:fldData>
        </w:fldChar>
      </w:r>
      <w:r w:rsidR="00575CDF" w:rsidRPr="00CA6B4F">
        <w:rPr>
          <w:szCs w:val="22"/>
          <w:highlight w:val="yellow"/>
          <w:lang w:val="en-IE"/>
        </w:rPr>
        <w:instrText xml:space="preserve"> ADDIN EN.CITE </w:instrText>
      </w:r>
      <w:r w:rsidR="00575CDF" w:rsidRPr="00CA6B4F">
        <w:rPr>
          <w:szCs w:val="22"/>
          <w:highlight w:val="yellow"/>
          <w:lang w:val="en-IE"/>
        </w:rPr>
        <w:fldChar w:fldCharType="begin">
          <w:fldData xml:space="preserve">PEVuZE5vdGU+PENpdGU+PEF1dGhvcj5HaWxsPC9BdXRob3I+PFllYXI+MjAxMzwvWWVhcj48UmVj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</w:fldData>
        </w:fldChar>
      </w:r>
      <w:r w:rsidR="00575CDF" w:rsidRPr="00CA6B4F">
        <w:rPr>
          <w:szCs w:val="22"/>
          <w:highlight w:val="yellow"/>
          <w:lang w:val="en-IE"/>
        </w:rPr>
        <w:instrText xml:space="preserve"> ADDIN EN.CITE.DATA </w:instrText>
      </w:r>
      <w:r w:rsidR="00575CDF" w:rsidRPr="00CA6B4F">
        <w:rPr>
          <w:szCs w:val="22"/>
          <w:highlight w:val="yellow"/>
          <w:lang w:val="en-IE"/>
        </w:rPr>
      </w:r>
      <w:r w:rsidR="00575CDF" w:rsidRPr="00CA6B4F">
        <w:rPr>
          <w:szCs w:val="22"/>
          <w:highlight w:val="yellow"/>
          <w:lang w:val="en-IE"/>
        </w:rPr>
        <w:fldChar w:fldCharType="end"/>
      </w:r>
      <w:r w:rsidR="00575CDF" w:rsidRPr="00CA6B4F">
        <w:rPr>
          <w:szCs w:val="22"/>
          <w:highlight w:val="yellow"/>
          <w:lang w:val="en-IE"/>
        </w:rPr>
      </w:r>
      <w:r w:rsidR="00575CDF" w:rsidRPr="00CA6B4F">
        <w:rPr>
          <w:szCs w:val="22"/>
          <w:highlight w:val="yellow"/>
          <w:lang w:val="en-IE"/>
        </w:rPr>
        <w:fldChar w:fldCharType="separate"/>
      </w:r>
      <w:r w:rsidR="00575CDF" w:rsidRPr="00CA6B4F">
        <w:rPr>
          <w:noProof/>
          <w:szCs w:val="22"/>
          <w:highlight w:val="yellow"/>
          <w:lang w:val="en-IE"/>
        </w:rPr>
        <w:t>(</w:t>
      </w:r>
      <w:hyperlink w:anchor="_ENREF_16" w:tooltip="Gill, 2013 #412" w:history="1">
        <w:r w:rsidR="006B35EC" w:rsidRPr="00CA6B4F">
          <w:rPr>
            <w:noProof/>
            <w:szCs w:val="22"/>
            <w:highlight w:val="yellow"/>
            <w:lang w:val="en-IE"/>
          </w:rPr>
          <w:t>Gill et al., 2013a</w:t>
        </w:r>
      </w:hyperlink>
      <w:r w:rsidR="00575CDF" w:rsidRPr="00CA6B4F">
        <w:rPr>
          <w:noProof/>
          <w:szCs w:val="22"/>
          <w:highlight w:val="yellow"/>
          <w:lang w:val="en-IE"/>
        </w:rPr>
        <w:t>;</w:t>
      </w:r>
      <w:hyperlink w:anchor="_ENREF_17" w:tooltip="Gill, 2013 #460" w:history="1">
        <w:r w:rsidR="006B35EC" w:rsidRPr="00CA6B4F">
          <w:rPr>
            <w:noProof/>
            <w:szCs w:val="22"/>
            <w:highlight w:val="yellow"/>
            <w:lang w:val="en-IE"/>
          </w:rPr>
          <w:t>Gill et al., 2013b</w:t>
        </w:r>
      </w:hyperlink>
      <w:r w:rsidR="00575CDF" w:rsidRPr="00CA6B4F">
        <w:rPr>
          <w:noProof/>
          <w:szCs w:val="22"/>
          <w:highlight w:val="yellow"/>
          <w:lang w:val="en-IE"/>
        </w:rPr>
        <w:t>)</w:t>
      </w:r>
      <w:r w:rsidR="00575CDF" w:rsidRPr="00CA6B4F">
        <w:rPr>
          <w:szCs w:val="22"/>
          <w:highlight w:val="yellow"/>
          <w:lang w:val="en-IE"/>
        </w:rPr>
        <w:fldChar w:fldCharType="end"/>
      </w:r>
      <w:r>
        <w:rPr>
          <w:szCs w:val="22"/>
          <w:lang w:val="en-IE"/>
        </w:rPr>
        <w:t xml:space="preserve">. In </w:t>
      </w:r>
      <w:r>
        <w:rPr>
          <w:i/>
          <w:szCs w:val="22"/>
          <w:lang w:val="en-IE"/>
        </w:rPr>
        <w:t xml:space="preserve">river flow-through </w:t>
      </w:r>
      <w:r>
        <w:rPr>
          <w:szCs w:val="22"/>
          <w:lang w:val="en-IE"/>
        </w:rPr>
        <w:t>systems</w:t>
      </w:r>
      <w:r w:rsidR="00575CDF">
        <w:rPr>
          <w:szCs w:val="22"/>
          <w:lang w:val="en-IE"/>
        </w:rPr>
        <w:t xml:space="preserve"> (</w:t>
      </w:r>
      <w:r w:rsidR="00575CDF">
        <w:rPr>
          <w:szCs w:val="22"/>
          <w:lang w:val="en-IE"/>
        </w:rPr>
        <w:fldChar w:fldCharType="begin"/>
      </w:r>
      <w:r w:rsidR="00575CDF">
        <w:rPr>
          <w:szCs w:val="22"/>
          <w:lang w:val="en-IE"/>
        </w:rPr>
        <w:instrText xml:space="preserve"> REF _Ref380426820 \h  \* MERGEFORMAT </w:instrText>
      </w:r>
      <w:r w:rsidR="00575CDF">
        <w:rPr>
          <w:szCs w:val="22"/>
          <w:lang w:val="en-IE"/>
        </w:rPr>
      </w:r>
      <w:r w:rsidR="00575CDF">
        <w:rPr>
          <w:szCs w:val="22"/>
          <w:lang w:val="en-IE"/>
        </w:rPr>
        <w:fldChar w:fldCharType="separate"/>
      </w:r>
      <w:r w:rsidR="00E40475" w:rsidRPr="00E40475">
        <w:rPr>
          <w:szCs w:val="22"/>
          <w:lang w:val="en-IE"/>
        </w:rPr>
        <w:t xml:space="preserve">Figure </w:t>
      </w:r>
      <w:r w:rsidR="00E40475" w:rsidRPr="00E40475">
        <w:rPr>
          <w:noProof/>
          <w:szCs w:val="22"/>
          <w:lang w:val="en-IE"/>
        </w:rPr>
        <w:t>2</w:t>
      </w:r>
      <w:r w:rsidR="00575CDF">
        <w:rPr>
          <w:szCs w:val="22"/>
          <w:lang w:val="en-IE"/>
        </w:rPr>
        <w:fldChar w:fldCharType="end"/>
      </w:r>
      <w:r w:rsidR="00575CDF">
        <w:rPr>
          <w:szCs w:val="22"/>
          <w:lang w:val="en-IE"/>
        </w:rPr>
        <w:t>b)</w:t>
      </w:r>
      <w:r>
        <w:rPr>
          <w:szCs w:val="22"/>
          <w:lang w:val="en-IE"/>
        </w:rPr>
        <w:t xml:space="preserve">, water is also constantly flowing through the turlough similar to </w:t>
      </w:r>
      <w:r>
        <w:rPr>
          <w:i/>
          <w:szCs w:val="22"/>
          <w:lang w:val="en-IE"/>
        </w:rPr>
        <w:t>diffuse flow-through</w:t>
      </w:r>
      <w:r>
        <w:rPr>
          <w:szCs w:val="22"/>
          <w:lang w:val="en-IE"/>
        </w:rPr>
        <w:t xml:space="preserve"> systems </w:t>
      </w:r>
      <w:r w:rsidR="00575CDF">
        <w:rPr>
          <w:szCs w:val="22"/>
          <w:lang w:val="en-IE"/>
        </w:rPr>
        <w:t>(</w:t>
      </w:r>
      <w:r w:rsidR="00575CDF">
        <w:rPr>
          <w:szCs w:val="22"/>
          <w:lang w:val="en-IE"/>
        </w:rPr>
        <w:fldChar w:fldCharType="begin"/>
      </w:r>
      <w:r w:rsidR="00575CDF">
        <w:rPr>
          <w:szCs w:val="22"/>
          <w:lang w:val="en-IE"/>
        </w:rPr>
        <w:instrText xml:space="preserve"> REF _Ref380426820 \h  \* MERGEFORMAT </w:instrText>
      </w:r>
      <w:r w:rsidR="00575CDF">
        <w:rPr>
          <w:szCs w:val="22"/>
          <w:lang w:val="en-IE"/>
        </w:rPr>
      </w:r>
      <w:r w:rsidR="00575CDF">
        <w:rPr>
          <w:szCs w:val="22"/>
          <w:lang w:val="en-IE"/>
        </w:rPr>
        <w:fldChar w:fldCharType="separate"/>
      </w:r>
      <w:r w:rsidR="00E40475" w:rsidRPr="00E40475">
        <w:rPr>
          <w:szCs w:val="22"/>
          <w:lang w:val="en-IE"/>
        </w:rPr>
        <w:t xml:space="preserve">Figure </w:t>
      </w:r>
      <w:r w:rsidR="00E40475" w:rsidRPr="00E40475">
        <w:rPr>
          <w:noProof/>
          <w:szCs w:val="22"/>
          <w:lang w:val="en-IE"/>
        </w:rPr>
        <w:t>2</w:t>
      </w:r>
      <w:r w:rsidR="00575CDF">
        <w:rPr>
          <w:szCs w:val="22"/>
          <w:lang w:val="en-IE"/>
        </w:rPr>
        <w:fldChar w:fldCharType="end"/>
      </w:r>
      <w:r w:rsidR="00575CDF">
        <w:rPr>
          <w:szCs w:val="22"/>
          <w:lang w:val="en-IE"/>
        </w:rPr>
        <w:t xml:space="preserve">c) </w:t>
      </w:r>
      <w:r>
        <w:rPr>
          <w:szCs w:val="22"/>
          <w:lang w:val="en-IE"/>
        </w:rPr>
        <w:t xml:space="preserve">however water volumes tend to be larger with </w:t>
      </w:r>
      <w:r w:rsidR="00F26F00" w:rsidRPr="005A249F">
        <w:rPr>
          <w:szCs w:val="22"/>
          <w:highlight w:val="cyan"/>
          <w:lang w:val="en-IE"/>
        </w:rPr>
        <w:t>higher</w:t>
      </w:r>
      <w:r w:rsidR="00F26F00">
        <w:rPr>
          <w:szCs w:val="22"/>
          <w:lang w:val="en-IE"/>
        </w:rPr>
        <w:t xml:space="preserve"> </w:t>
      </w:r>
      <w:r>
        <w:rPr>
          <w:szCs w:val="22"/>
          <w:lang w:val="en-IE"/>
        </w:rPr>
        <w:t>discharge rates.</w:t>
      </w:r>
      <w:r w:rsidR="00133148">
        <w:rPr>
          <w:szCs w:val="22"/>
          <w:lang w:val="en-IE"/>
        </w:rPr>
        <w:t xml:space="preserve"> </w:t>
      </w:r>
      <w:r>
        <w:rPr>
          <w:szCs w:val="22"/>
          <w:lang w:val="en-IE"/>
        </w:rPr>
        <w:t>These turloughs also tend to show much more ‘flashy’ flooding behaviour as they are directly linked to a river, Blackrock and Coole turloughs</w:t>
      </w:r>
      <w:r w:rsidR="00247D76">
        <w:rPr>
          <w:szCs w:val="22"/>
          <w:lang w:val="en-IE"/>
        </w:rPr>
        <w:t xml:space="preserve"> (see </w:t>
      </w:r>
      <w:r w:rsidR="00247D76">
        <w:rPr>
          <w:szCs w:val="22"/>
          <w:lang w:val="en-IE"/>
        </w:rPr>
        <w:fldChar w:fldCharType="begin"/>
      </w:r>
      <w:r w:rsidR="00247D76">
        <w:rPr>
          <w:szCs w:val="22"/>
          <w:lang w:val="en-IE"/>
        </w:rPr>
        <w:instrText xml:space="preserve"> REF _Ref385497073 \h </w:instrText>
      </w:r>
      <w:r w:rsidR="00247D76">
        <w:rPr>
          <w:szCs w:val="22"/>
          <w:lang w:val="en-IE"/>
        </w:rPr>
      </w:r>
      <w:r w:rsidR="00247D76">
        <w:rPr>
          <w:szCs w:val="22"/>
          <w:lang w:val="en-IE"/>
        </w:rPr>
        <w:fldChar w:fldCharType="separate"/>
      </w:r>
      <w:r w:rsidR="00E40475">
        <w:t xml:space="preserve">Figure </w:t>
      </w:r>
      <w:r w:rsidR="00E40475">
        <w:rPr>
          <w:noProof/>
        </w:rPr>
        <w:t>1</w:t>
      </w:r>
      <w:r w:rsidR="00247D76">
        <w:rPr>
          <w:szCs w:val="22"/>
          <w:lang w:val="en-IE"/>
        </w:rPr>
        <w:fldChar w:fldCharType="end"/>
      </w:r>
      <w:r w:rsidR="00247D76">
        <w:rPr>
          <w:szCs w:val="22"/>
          <w:lang w:val="en-IE"/>
        </w:rPr>
        <w:t>)</w:t>
      </w:r>
      <w:r>
        <w:rPr>
          <w:szCs w:val="22"/>
          <w:lang w:val="en-IE"/>
        </w:rPr>
        <w:t xml:space="preserve"> being examples of such types. In </w:t>
      </w:r>
      <w:r>
        <w:rPr>
          <w:i/>
          <w:szCs w:val="22"/>
          <w:lang w:val="en-IE"/>
        </w:rPr>
        <w:t>surcharge tank</w:t>
      </w:r>
      <w:r>
        <w:rPr>
          <w:szCs w:val="22"/>
          <w:lang w:val="en-IE"/>
        </w:rPr>
        <w:t xml:space="preserve"> systems the turlough can be viewed as a pressure release point along an underground pipe network, providing overflow storage for the excess groundwater that cannot be accommodated due to insufficient hydraulic capacity of the conduit network, Coy, Garryland and Caherglassaun being e</w:t>
      </w:r>
      <w:r w:rsidR="00575CDF">
        <w:rPr>
          <w:szCs w:val="22"/>
          <w:lang w:val="en-IE"/>
        </w:rPr>
        <w:t>xamples of this type of system.</w:t>
      </w:r>
    </w:p>
    <w:p w:rsidR="003A1E8E" w:rsidRPr="007E19DB" w:rsidRDefault="003A1E8E" w:rsidP="00871DFC">
      <w:pPr>
        <w:rPr>
          <w:szCs w:val="22"/>
          <w:lang w:val="en-IE"/>
        </w:rPr>
      </w:pPr>
    </w:p>
    <w:p w:rsidR="00A132DB" w:rsidRDefault="00816944" w:rsidP="00871DFC">
      <w:pPr>
        <w:rPr>
          <w:szCs w:val="22"/>
          <w:lang w:val="en-IE"/>
        </w:rPr>
      </w:pPr>
      <w:r w:rsidRPr="005A249F">
        <w:rPr>
          <w:szCs w:val="22"/>
          <w:highlight w:val="cyan"/>
          <w:lang w:val="en-IE"/>
        </w:rPr>
        <w:t>Most of the allogenic nutrient load</w:t>
      </w:r>
      <w:r w:rsidR="00E0084E" w:rsidRPr="005A249F">
        <w:rPr>
          <w:szCs w:val="22"/>
          <w:highlight w:val="cyan"/>
          <w:lang w:val="en-IE"/>
        </w:rPr>
        <w:t>ing</w:t>
      </w:r>
      <w:r w:rsidRPr="005A249F">
        <w:rPr>
          <w:szCs w:val="22"/>
          <w:highlight w:val="cyan"/>
          <w:lang w:val="en-IE"/>
        </w:rPr>
        <w:t xml:space="preserve"> entering the </w:t>
      </w:r>
      <w:r w:rsidR="00E0084E" w:rsidRPr="005A249F">
        <w:rPr>
          <w:szCs w:val="22"/>
          <w:highlight w:val="cyan"/>
          <w:lang w:val="en-IE"/>
        </w:rPr>
        <w:t>l</w:t>
      </w:r>
      <w:r w:rsidRPr="005A249F">
        <w:rPr>
          <w:szCs w:val="22"/>
          <w:highlight w:val="cyan"/>
          <w:lang w:val="en-IE"/>
        </w:rPr>
        <w:t xml:space="preserve">owlands </w:t>
      </w:r>
      <w:r w:rsidR="00E0084E" w:rsidRPr="005A249F">
        <w:rPr>
          <w:szCs w:val="22"/>
          <w:highlight w:val="cyan"/>
          <w:lang w:val="en-IE"/>
        </w:rPr>
        <w:t>is</w:t>
      </w:r>
      <w:r w:rsidR="00E9483B">
        <w:rPr>
          <w:szCs w:val="22"/>
          <w:highlight w:val="cyan"/>
          <w:lang w:val="en-IE"/>
        </w:rPr>
        <w:t xml:space="preserve"> </w:t>
      </w:r>
      <w:r w:rsidR="00E824EE">
        <w:rPr>
          <w:szCs w:val="22"/>
          <w:highlight w:val="cyan"/>
          <w:lang w:val="en-IE"/>
        </w:rPr>
        <w:t>thought</w:t>
      </w:r>
      <w:r w:rsidR="00E9483B">
        <w:rPr>
          <w:szCs w:val="22"/>
          <w:highlight w:val="cyan"/>
          <w:lang w:val="en-IE"/>
        </w:rPr>
        <w:t xml:space="preserve"> to derive</w:t>
      </w:r>
      <w:r w:rsidR="00E0084E" w:rsidRPr="005A249F">
        <w:rPr>
          <w:szCs w:val="22"/>
          <w:highlight w:val="cyan"/>
          <w:lang w:val="en-IE"/>
        </w:rPr>
        <w:t xml:space="preserve"> from agricultural source</w:t>
      </w:r>
      <w:r w:rsidR="00E9483B">
        <w:rPr>
          <w:szCs w:val="22"/>
          <w:highlight w:val="cyan"/>
          <w:lang w:val="en-IE"/>
        </w:rPr>
        <w:t>s</w:t>
      </w:r>
      <w:r w:rsidR="00E0084E" w:rsidRPr="005A249F">
        <w:rPr>
          <w:szCs w:val="22"/>
          <w:highlight w:val="cyan"/>
          <w:lang w:val="en-IE"/>
        </w:rPr>
        <w:t>.</w:t>
      </w:r>
      <w:r w:rsidR="00E0084E">
        <w:rPr>
          <w:szCs w:val="22"/>
          <w:lang w:val="en-IE"/>
        </w:rPr>
        <w:t xml:space="preserve"> </w:t>
      </w:r>
      <w:r w:rsidR="00267675">
        <w:rPr>
          <w:szCs w:val="22"/>
          <w:lang w:val="en-IE"/>
        </w:rPr>
        <w:t>N</w:t>
      </w:r>
      <w:r w:rsidR="00736F6B">
        <w:rPr>
          <w:szCs w:val="22"/>
          <w:lang w:val="en-IE"/>
        </w:rPr>
        <w:t xml:space="preserve">utrients enter the aquifer </w:t>
      </w:r>
      <w:r w:rsidR="00267675">
        <w:rPr>
          <w:szCs w:val="22"/>
          <w:lang w:val="en-IE"/>
        </w:rPr>
        <w:t xml:space="preserve">via </w:t>
      </w:r>
      <w:r w:rsidR="00736F6B">
        <w:rPr>
          <w:szCs w:val="22"/>
          <w:lang w:val="en-IE"/>
        </w:rPr>
        <w:t>allogenic point sources</w:t>
      </w:r>
      <w:r w:rsidR="00267675">
        <w:rPr>
          <w:szCs w:val="22"/>
          <w:lang w:val="en-IE"/>
        </w:rPr>
        <w:t>,</w:t>
      </w:r>
      <w:r w:rsidR="00736F6B">
        <w:rPr>
          <w:szCs w:val="22"/>
          <w:lang w:val="en-IE"/>
        </w:rPr>
        <w:t xml:space="preserve"> such as the three rivers draining the Mountains</w:t>
      </w:r>
      <w:r w:rsidR="00267675">
        <w:rPr>
          <w:szCs w:val="22"/>
          <w:lang w:val="en-IE"/>
        </w:rPr>
        <w:t>,</w:t>
      </w:r>
      <w:r w:rsidR="00736F6B">
        <w:rPr>
          <w:szCs w:val="22"/>
          <w:lang w:val="en-IE"/>
        </w:rPr>
        <w:t xml:space="preserve"> or by autogenic diffuse mechanisms </w:t>
      </w:r>
      <w:r w:rsidR="00267675">
        <w:rPr>
          <w:szCs w:val="22"/>
          <w:lang w:val="en-IE"/>
        </w:rPr>
        <w:t xml:space="preserve">within </w:t>
      </w:r>
      <w:r w:rsidR="00736F6B">
        <w:rPr>
          <w:szCs w:val="22"/>
          <w:lang w:val="en-IE"/>
        </w:rPr>
        <w:t>the lowlands</w:t>
      </w:r>
      <w:r w:rsidR="00267675">
        <w:rPr>
          <w:szCs w:val="22"/>
          <w:lang w:val="en-IE"/>
        </w:rPr>
        <w:t xml:space="preserve">. </w:t>
      </w:r>
      <w:proofErr w:type="gramStart"/>
      <w:r w:rsidR="00267675">
        <w:rPr>
          <w:szCs w:val="22"/>
          <w:lang w:val="en-IE"/>
        </w:rPr>
        <w:t xml:space="preserve">Each mechanism </w:t>
      </w:r>
      <w:r w:rsidR="00736F6B">
        <w:rPr>
          <w:szCs w:val="22"/>
          <w:lang w:val="en-IE"/>
        </w:rPr>
        <w:t>providing</w:t>
      </w:r>
      <w:r w:rsidR="00B75A4F">
        <w:rPr>
          <w:szCs w:val="22"/>
          <w:lang w:val="en-IE"/>
        </w:rPr>
        <w:t xml:space="preserve"> a</w:t>
      </w:r>
      <w:r w:rsidR="00736F6B">
        <w:rPr>
          <w:szCs w:val="22"/>
          <w:lang w:val="en-IE"/>
        </w:rPr>
        <w:t xml:space="preserve"> hydrochemically distinct input.</w:t>
      </w:r>
      <w:proofErr w:type="gramEnd"/>
      <w:r w:rsidR="00736F6B">
        <w:rPr>
          <w:szCs w:val="22"/>
          <w:lang w:val="en-IE"/>
        </w:rPr>
        <w:t xml:space="preserve"> </w:t>
      </w:r>
      <w:r w:rsidR="00267675">
        <w:rPr>
          <w:szCs w:val="22"/>
          <w:lang w:val="en-IE"/>
        </w:rPr>
        <w:t>A</w:t>
      </w:r>
      <w:r w:rsidR="003D15DB" w:rsidRPr="003C60DC">
        <w:rPr>
          <w:szCs w:val="22"/>
          <w:lang w:val="en-IE"/>
        </w:rPr>
        <w:t>llogenic recharge</w:t>
      </w:r>
      <w:r w:rsidR="003C60DC" w:rsidRPr="003C60DC">
        <w:rPr>
          <w:szCs w:val="22"/>
          <w:lang w:val="en-IE"/>
        </w:rPr>
        <w:t xml:space="preserve"> is characterised by relatively low alkalinity </w:t>
      </w:r>
      <w:r w:rsidR="009B4CE0">
        <w:rPr>
          <w:szCs w:val="22"/>
          <w:lang w:val="en-IE"/>
        </w:rPr>
        <w:t xml:space="preserve">due to the non-carbonate bedrock </w:t>
      </w:r>
      <w:r w:rsidR="003C60DC" w:rsidRPr="003C60DC">
        <w:rPr>
          <w:szCs w:val="22"/>
          <w:lang w:val="en-IE"/>
        </w:rPr>
        <w:t>and</w:t>
      </w:r>
      <w:r w:rsidR="00A132DB">
        <w:rPr>
          <w:szCs w:val="22"/>
          <w:lang w:val="en-IE"/>
        </w:rPr>
        <w:t xml:space="preserve"> moderate</w:t>
      </w:r>
      <w:r w:rsidR="009B4CE0">
        <w:rPr>
          <w:szCs w:val="22"/>
          <w:lang w:val="en-IE"/>
        </w:rPr>
        <w:t xml:space="preserve"> </w:t>
      </w:r>
      <w:r w:rsidR="003C60DC" w:rsidRPr="003C60DC">
        <w:rPr>
          <w:szCs w:val="22"/>
          <w:lang w:val="en-IE"/>
        </w:rPr>
        <w:t xml:space="preserve">nutrient concentrations </w:t>
      </w:r>
      <w:r w:rsidR="001B2205">
        <w:rPr>
          <w:szCs w:val="22"/>
          <w:lang w:val="en-IE"/>
        </w:rPr>
        <w:t>because of</w:t>
      </w:r>
      <w:r w:rsidR="009B4CE0">
        <w:rPr>
          <w:szCs w:val="22"/>
          <w:lang w:val="en-IE"/>
        </w:rPr>
        <w:t xml:space="preserve"> the </w:t>
      </w:r>
      <w:r w:rsidR="00A132DB">
        <w:rPr>
          <w:szCs w:val="22"/>
          <w:lang w:val="en-IE"/>
        </w:rPr>
        <w:t>relatively low</w:t>
      </w:r>
      <w:r w:rsidR="006974E8">
        <w:rPr>
          <w:szCs w:val="22"/>
          <w:lang w:val="en-IE"/>
        </w:rPr>
        <w:t xml:space="preserve">-intensity </w:t>
      </w:r>
      <w:r w:rsidR="00A132DB">
        <w:rPr>
          <w:szCs w:val="22"/>
          <w:lang w:val="en-IE"/>
        </w:rPr>
        <w:t xml:space="preserve">agriculture in the uplands. In the lowlands, the carbonate bedrock results in much higher </w:t>
      </w:r>
      <w:r w:rsidR="001342F4">
        <w:rPr>
          <w:szCs w:val="22"/>
          <w:lang w:val="en-IE"/>
        </w:rPr>
        <w:t>a</w:t>
      </w:r>
      <w:r w:rsidR="00A132DB">
        <w:rPr>
          <w:szCs w:val="22"/>
          <w:lang w:val="en-IE"/>
        </w:rPr>
        <w:t xml:space="preserve">lkalinity levels and the </w:t>
      </w:r>
      <w:r w:rsidR="006974E8">
        <w:rPr>
          <w:szCs w:val="22"/>
          <w:lang w:val="en-IE"/>
        </w:rPr>
        <w:t xml:space="preserve">higher intensity </w:t>
      </w:r>
      <w:r w:rsidR="00A132DB">
        <w:rPr>
          <w:szCs w:val="22"/>
          <w:lang w:val="en-IE"/>
        </w:rPr>
        <w:t xml:space="preserve">agriculture </w:t>
      </w:r>
      <w:r w:rsidR="006E3AFA">
        <w:rPr>
          <w:szCs w:val="22"/>
          <w:lang w:val="en-IE"/>
        </w:rPr>
        <w:t xml:space="preserve">(mainly pasture for cattle) </w:t>
      </w:r>
      <w:r w:rsidR="00A132DB">
        <w:rPr>
          <w:szCs w:val="22"/>
          <w:lang w:val="en-IE"/>
        </w:rPr>
        <w:t xml:space="preserve">causes </w:t>
      </w:r>
      <w:r w:rsidR="006974E8">
        <w:rPr>
          <w:szCs w:val="22"/>
          <w:lang w:val="en-IE"/>
        </w:rPr>
        <w:t xml:space="preserve">corresponding </w:t>
      </w:r>
      <w:r w:rsidR="00A132DB">
        <w:rPr>
          <w:szCs w:val="22"/>
          <w:lang w:val="en-IE"/>
        </w:rPr>
        <w:t>higher nutrient concentrations (particu</w:t>
      </w:r>
      <w:r w:rsidR="00FC2401">
        <w:rPr>
          <w:szCs w:val="22"/>
          <w:lang w:val="en-IE"/>
        </w:rPr>
        <w:t>larly for N) within the diffuse</w:t>
      </w:r>
      <w:r w:rsidR="00A132DB">
        <w:rPr>
          <w:szCs w:val="22"/>
          <w:lang w:val="en-IE"/>
        </w:rPr>
        <w:t xml:space="preserve"> groundwater.</w:t>
      </w:r>
    </w:p>
    <w:p w:rsidR="00625649" w:rsidRDefault="00625649" w:rsidP="00871DFC">
      <w:pPr>
        <w:rPr>
          <w:szCs w:val="22"/>
          <w:lang w:val="en-IE"/>
        </w:rPr>
      </w:pPr>
    </w:p>
    <w:p w:rsidR="009B4CE0" w:rsidRPr="00C30A14" w:rsidRDefault="004260CD" w:rsidP="00871DFC">
      <w:pPr>
        <w:rPr>
          <w:szCs w:val="22"/>
          <w:lang w:val="en-IE"/>
        </w:rPr>
      </w:pPr>
      <w:r w:rsidRPr="00054BE0">
        <w:rPr>
          <w:szCs w:val="22"/>
          <w:lang w:val="en-IE"/>
        </w:rPr>
        <w:t xml:space="preserve">The Gort Lowlands catchment has been </w:t>
      </w:r>
      <w:r w:rsidR="005C0FBC">
        <w:rPr>
          <w:szCs w:val="22"/>
          <w:lang w:val="en-IE"/>
        </w:rPr>
        <w:t xml:space="preserve">hydrologically </w:t>
      </w:r>
      <w:r w:rsidRPr="00054BE0">
        <w:rPr>
          <w:szCs w:val="22"/>
          <w:lang w:val="en-IE"/>
        </w:rPr>
        <w:t xml:space="preserve">modelled </w:t>
      </w:r>
      <w:r w:rsidR="00261B73">
        <w:rPr>
          <w:szCs w:val="22"/>
          <w:lang w:val="en-IE"/>
        </w:rPr>
        <w:t xml:space="preserve">successfully </w:t>
      </w:r>
      <w:r w:rsidR="00CA6B4F">
        <w:rPr>
          <w:szCs w:val="22"/>
          <w:lang w:val="en-IE"/>
        </w:rPr>
        <w:t xml:space="preserve">using Infoworks CS by </w:t>
      </w:r>
      <w:r w:rsidR="00CA6B4F" w:rsidRPr="005A249F">
        <w:rPr>
          <w:szCs w:val="22"/>
          <w:highlight w:val="cyan"/>
          <w:lang w:val="en-IE"/>
        </w:rPr>
        <w:t>(Wallingford Software,</w:t>
      </w:r>
      <w:r w:rsidR="00CA6B4F" w:rsidRPr="005A249F">
        <w:rPr>
          <w:color w:val="0070C0"/>
          <w:szCs w:val="22"/>
          <w:highlight w:val="cyan"/>
          <w:lang w:val="en-IE"/>
        </w:rPr>
        <w:t xml:space="preserve"> </w:t>
      </w:r>
      <w:r w:rsidR="00CA6B4F" w:rsidRPr="005A249F">
        <w:rPr>
          <w:szCs w:val="22"/>
          <w:highlight w:val="cyan"/>
          <w:lang w:val="en-IE"/>
        </w:rPr>
        <w:t>Wallingford, UK)</w:t>
      </w:r>
      <w:proofErr w:type="gramStart"/>
      <w:r w:rsidR="00054BE0" w:rsidRPr="00054BE0">
        <w:rPr>
          <w:szCs w:val="22"/>
          <w:lang w:val="en-IE"/>
        </w:rPr>
        <w:t>,</w:t>
      </w:r>
      <w:proofErr w:type="gramEnd"/>
      <w:r w:rsidR="00054BE0" w:rsidRPr="00054BE0">
        <w:rPr>
          <w:szCs w:val="22"/>
          <w:lang w:val="en-IE"/>
        </w:rPr>
        <w:t xml:space="preserve"> a hydraulic modelling package more often used to model urban drainage networks</w:t>
      </w:r>
      <w:r w:rsidR="001B2205">
        <w:rPr>
          <w:szCs w:val="22"/>
          <w:lang w:val="en-IE"/>
        </w:rPr>
        <w:t>.</w:t>
      </w:r>
      <w:r w:rsidR="00054BE0" w:rsidRPr="00054BE0">
        <w:rPr>
          <w:szCs w:val="22"/>
          <w:lang w:val="en-IE"/>
        </w:rPr>
        <w:t xml:space="preserve"> The model simulates the hydraulic behaviour of a pipe network under varying conditions of rainfall, land use, population, inflows etc</w:t>
      </w:r>
      <w:r w:rsidR="00054BE0">
        <w:rPr>
          <w:szCs w:val="22"/>
          <w:lang w:val="en-IE"/>
        </w:rPr>
        <w:t>.</w:t>
      </w:r>
      <w:r w:rsidR="00054BE0" w:rsidRPr="00054BE0">
        <w:rPr>
          <w:szCs w:val="22"/>
          <w:lang w:val="en-IE"/>
        </w:rPr>
        <w:t xml:space="preserve"> and represents the catchment as a complex </w:t>
      </w:r>
      <w:r w:rsidR="00875B55">
        <w:rPr>
          <w:szCs w:val="22"/>
          <w:lang w:val="en-IE"/>
        </w:rPr>
        <w:t xml:space="preserve">network of pipes (conduits), </w:t>
      </w:r>
      <w:r w:rsidR="00054BE0" w:rsidRPr="00054BE0">
        <w:rPr>
          <w:szCs w:val="22"/>
          <w:lang w:val="en-IE"/>
        </w:rPr>
        <w:t>tanks (turloughs)</w:t>
      </w:r>
      <w:r w:rsidR="00875B55">
        <w:rPr>
          <w:szCs w:val="22"/>
          <w:lang w:val="en-IE"/>
        </w:rPr>
        <w:t xml:space="preserve"> and subcatchments (diffuse/epikarst)</w:t>
      </w:r>
      <w:r w:rsidR="00054BE0" w:rsidRPr="00054BE0">
        <w:rPr>
          <w:szCs w:val="22"/>
          <w:lang w:val="en-IE"/>
        </w:rPr>
        <w:t xml:space="preserve">. </w:t>
      </w:r>
      <w:r w:rsidR="0006206C" w:rsidRPr="004C7877">
        <w:rPr>
          <w:szCs w:val="22"/>
          <w:highlight w:val="yellow"/>
          <w:lang w:val="en-IE"/>
        </w:rPr>
        <w:t>Internal storage within the system was represented using five ponds with the same stage–volume characteristics as the surveyed turloughs. Diffuse autogenic recharge was incorporated into the model using a conceptual epikarst fracture system represented by sub-catchments draining into the main conduit system via a series of permeable pipes. This was achieved using a combination of runoff-routing model, Groundwater Infiltration Module (GIM) and use of SUDS (Sustainable Urban Drainage) applications in the Infoworks modelling p</w:t>
      </w:r>
      <w:r w:rsidR="00E474D7">
        <w:rPr>
          <w:szCs w:val="22"/>
          <w:highlight w:val="yellow"/>
          <w:lang w:val="en-IE"/>
        </w:rPr>
        <w:t xml:space="preserve">ackage. </w:t>
      </w:r>
      <w:r w:rsidR="004C7877" w:rsidRPr="00E474D7">
        <w:rPr>
          <w:szCs w:val="22"/>
          <w:highlight w:val="yellow"/>
          <w:lang w:val="en-IE"/>
        </w:rPr>
        <w:t xml:space="preserve">The model was originally calibrated by </w:t>
      </w:r>
      <w:hyperlink w:anchor="_ENREF_16" w:tooltip="Gill, 2013 #412" w:history="1">
        <w:r w:rsidR="006B35EC" w:rsidRPr="00E474D7">
          <w:rPr>
            <w:szCs w:val="22"/>
            <w:highlight w:val="yellow"/>
            <w:lang w:val="en-IE"/>
          </w:rPr>
          <w:fldChar w:fldCharType="begin"/>
        </w:r>
        <w:r w:rsidR="006B35EC" w:rsidRPr="00E474D7">
          <w:rPr>
            <w:szCs w:val="22"/>
            <w:highlight w:val="yellow"/>
            <w:lang w:val="en-IE"/>
          </w:rPr>
          <w:instrText xml:space="preserve"> ADDIN EN.CITE &lt;EndNote&gt;&lt;Cite AuthorYear="1"&gt;&lt;Author&gt;Gill&lt;/Author&gt;&lt;Year&gt;2013&lt;/Year&gt;&lt;RecNum&gt;412&lt;/RecNum&gt;&lt;DisplayText&gt;Gill et al. (2013a)&lt;/DisplayText&gt;&lt;record&gt;&lt;rec-number&gt;412&lt;/rec-number&gt;&lt;foreign-keys&gt;&lt;key app="EN" db-id="dswvr2vdivtsvfepswzvft9gtsxe5zxfaavp" timestamp="1369822045"&gt;412&lt;/key&gt;&lt;/foreign-keys&gt;&lt;ref-type name="Journal Article"&gt;17&lt;/ref-type&gt;&lt;contributors&gt;&lt;authors&gt;&lt;author&gt;Gill, L.W.&lt;/author&gt;&lt;author&gt;Naughton, O.&lt;/author&gt;&lt;author&gt;Johnston, P.&lt;/author&gt;&lt;/authors&gt;&lt;/contributors&gt;&lt;titles&gt;&lt;title&gt;Modelling a network of turloughs in lowland karst&lt;/title&gt;&lt;secondary-title&gt;Water Resources Research&lt;/secondary-title&gt;&lt;/titles&gt;&lt;periodical&gt;&lt;full-title&gt;Water Resources Research&lt;/full-title&gt;&lt;/periodical&gt;&lt;pages&gt;3487-3503&lt;/pages&gt;&lt;volume&gt;49&lt;/volume&gt;&lt;number&gt;6&lt;/number&gt;&lt;dates&gt;&lt;year&gt;2013&lt;/year&gt;&lt;/dates&gt;&lt;urls&gt;&lt;/urls&gt;&lt;/record&gt;&lt;/Cite&gt;&lt;/EndNote&gt;</w:instrText>
        </w:r>
        <w:r w:rsidR="006B35EC" w:rsidRPr="00E474D7">
          <w:rPr>
            <w:szCs w:val="22"/>
            <w:highlight w:val="yellow"/>
            <w:lang w:val="en-IE"/>
          </w:rPr>
          <w:fldChar w:fldCharType="separate"/>
        </w:r>
        <w:r w:rsidR="006B35EC" w:rsidRPr="00E474D7">
          <w:rPr>
            <w:noProof/>
            <w:szCs w:val="22"/>
            <w:highlight w:val="yellow"/>
            <w:lang w:val="en-IE"/>
          </w:rPr>
          <w:t>Gill et al. (2013a)</w:t>
        </w:r>
        <w:r w:rsidR="006B35EC" w:rsidRPr="00E474D7">
          <w:rPr>
            <w:szCs w:val="22"/>
            <w:highlight w:val="yellow"/>
            <w:lang w:val="en-IE"/>
          </w:rPr>
          <w:fldChar w:fldCharType="end"/>
        </w:r>
      </w:hyperlink>
      <w:r w:rsidR="004C7877" w:rsidRPr="00E474D7">
        <w:rPr>
          <w:szCs w:val="22"/>
          <w:highlight w:val="yellow"/>
          <w:lang w:val="en-IE"/>
        </w:rPr>
        <w:t xml:space="preserve"> and has since been further recalibrated due to </w:t>
      </w:r>
      <w:r w:rsidR="00E474D7" w:rsidRPr="00E474D7">
        <w:rPr>
          <w:szCs w:val="22"/>
          <w:highlight w:val="yellow"/>
          <w:lang w:val="en-IE"/>
        </w:rPr>
        <w:t>the availability of additional data</w:t>
      </w:r>
      <w:r w:rsidR="00BC57D5">
        <w:rPr>
          <w:szCs w:val="22"/>
          <w:highlight w:val="yellow"/>
          <w:lang w:val="en-IE"/>
        </w:rPr>
        <w:t xml:space="preserve"> </w:t>
      </w:r>
      <w:r w:rsidR="004C7877" w:rsidRPr="00E474D7">
        <w:rPr>
          <w:szCs w:val="22"/>
          <w:highlight w:val="yellow"/>
          <w:lang w:val="en-IE"/>
        </w:rPr>
        <w:fldChar w:fldCharType="begin"/>
      </w:r>
      <w:r w:rsidR="004C7877" w:rsidRPr="00E474D7">
        <w:rPr>
          <w:szCs w:val="22"/>
          <w:highlight w:val="yellow"/>
          <w:lang w:val="en-IE"/>
        </w:rPr>
        <w:instrText xml:space="preserve"> ADDIN EN.CITE &lt;EndNote&gt;&lt;Cite&gt;&lt;Author&gt;McCormack&lt;/Author&gt;&lt;Year&gt;2014&lt;/Year&gt;&lt;RecNum&gt;590&lt;/RecNum&gt;&lt;DisplayText&gt;(McCormack et al., 2014)&lt;/DisplayText&gt;&lt;record&gt;&lt;rec-number&gt;590&lt;/rec-number&gt;&lt;foreign-keys&gt;&lt;key app="EN" db-id="dswvr2vdivtsvfepswzvft9gtsxe5zxfaavp" timestamp="1414572943"&gt;590&lt;/key&gt;&lt;/foreign-keys&gt;&lt;ref-type name="Journal Article"&gt;17&lt;/ref-type&gt;&lt;contributors&gt;&lt;authors&gt;&lt;author&gt;McCormack, T.&lt;/author&gt;&lt;author&gt;Gill, L. W.&lt;/author&gt;&lt;author&gt;Naughton, O.&lt;/author&gt;&lt;author&gt;Johnston, P. M.&lt;/author&gt;&lt;/authors&gt;&lt;/contributors&gt;&lt;titles&gt;&lt;title&gt;Quantification of submarine/intertidal groundwater discharge and nutrient loading from a lowland karst catchment&lt;/title&gt;&lt;secondary-title&gt;Journal of Hydrology&lt;/secondary-title&gt;&lt;/titles&gt;&lt;periodical&gt;&lt;full-title&gt;Journal of Hydrology&lt;/full-title&gt;&lt;/periodical&gt;&lt;pages&gt;2318-2330&lt;/pages&gt;&lt;volume&gt;519, Part B&lt;/volume&gt;&lt;number&gt;0&lt;/number&gt;&lt;keywords&gt;&lt;keyword&gt;Submarine groundwater discharge&lt;/keyword&gt;&lt;keyword&gt;Karst&lt;/keyword&gt;&lt;keyword&gt;Modelling&lt;/keyword&gt;&lt;keyword&gt;Salinity&lt;/keyword&gt;&lt;keyword&gt;Nutrient loading&lt;/keyword&gt;&lt;keyword&gt;Ireland&lt;/keyword&gt;&lt;/keywords&gt;&lt;dates&gt;&lt;year&gt;2014&lt;/year&gt;&lt;pub-dates&gt;&lt;date&gt;11/27/&lt;/date&gt;&lt;/pub-dates&gt;&lt;/dates&gt;&lt;isbn&gt;0022-1694&lt;/isbn&gt;&lt;urls&gt;&lt;related-urls&gt;&lt;url&gt;http://www.sciencedirect.com/science/article/pii/S0022169414007781&lt;/url&gt;&lt;/related-urls&gt;&lt;/urls&gt;&lt;electronic-resource-num&gt;http://dx.doi.org/10.1016/j.jhydrol.2014.09.086&lt;/electronic-resource-num&gt;&lt;/record&gt;&lt;/Cite&gt;&lt;/EndNote&gt;</w:instrText>
      </w:r>
      <w:r w:rsidR="004C7877" w:rsidRPr="00E474D7">
        <w:rPr>
          <w:szCs w:val="22"/>
          <w:highlight w:val="yellow"/>
          <w:lang w:val="en-IE"/>
        </w:rPr>
        <w:fldChar w:fldCharType="separate"/>
      </w:r>
      <w:r w:rsidR="004C7877" w:rsidRPr="00E474D7">
        <w:rPr>
          <w:noProof/>
          <w:szCs w:val="22"/>
          <w:highlight w:val="yellow"/>
          <w:lang w:val="en-IE"/>
        </w:rPr>
        <w:t>(</w:t>
      </w:r>
      <w:hyperlink w:anchor="_ENREF_24" w:tooltip="McCormack, 2014 #590" w:history="1">
        <w:r w:rsidR="006B35EC" w:rsidRPr="00E474D7">
          <w:rPr>
            <w:noProof/>
            <w:szCs w:val="22"/>
            <w:highlight w:val="yellow"/>
            <w:lang w:val="en-IE"/>
          </w:rPr>
          <w:t>McCormack et al., 2014</w:t>
        </w:r>
      </w:hyperlink>
      <w:r w:rsidR="004C7877" w:rsidRPr="00E474D7">
        <w:rPr>
          <w:noProof/>
          <w:szCs w:val="22"/>
          <w:highlight w:val="yellow"/>
          <w:lang w:val="en-IE"/>
        </w:rPr>
        <w:t>)</w:t>
      </w:r>
      <w:r w:rsidR="004C7877" w:rsidRPr="00E474D7">
        <w:rPr>
          <w:szCs w:val="22"/>
          <w:highlight w:val="yellow"/>
          <w:lang w:val="en-IE"/>
        </w:rPr>
        <w:fldChar w:fldCharType="end"/>
      </w:r>
      <w:r w:rsidR="004C7877" w:rsidRPr="00E474D7">
        <w:rPr>
          <w:szCs w:val="22"/>
          <w:highlight w:val="yellow"/>
          <w:lang w:val="en-IE"/>
        </w:rPr>
        <w:t xml:space="preserve">.  </w:t>
      </w:r>
      <w:r w:rsidR="00E474D7" w:rsidRPr="00E474D7">
        <w:rPr>
          <w:szCs w:val="22"/>
          <w:highlight w:val="yellow"/>
          <w:lang w:val="en-IE"/>
        </w:rPr>
        <w:t>For the recalibrated model</w:t>
      </w:r>
      <w:r w:rsidR="00BC57D5">
        <w:rPr>
          <w:szCs w:val="22"/>
          <w:highlight w:val="yellow"/>
          <w:lang w:val="en-IE"/>
        </w:rPr>
        <w:t xml:space="preserve"> (which was used for this current study)</w:t>
      </w:r>
      <w:r w:rsidR="00E474D7" w:rsidRPr="00E474D7">
        <w:rPr>
          <w:szCs w:val="22"/>
          <w:highlight w:val="yellow"/>
          <w:lang w:val="en-IE"/>
        </w:rPr>
        <w:t>, t</w:t>
      </w:r>
      <w:r w:rsidR="004C7877" w:rsidRPr="00E474D7">
        <w:rPr>
          <w:szCs w:val="22"/>
          <w:highlight w:val="yellow"/>
          <w:lang w:val="en-IE"/>
        </w:rPr>
        <w:t xml:space="preserve">he </w:t>
      </w:r>
      <w:r w:rsidR="00E474D7" w:rsidRPr="00E474D7">
        <w:rPr>
          <w:szCs w:val="22"/>
          <w:highlight w:val="yellow"/>
          <w:lang w:val="en-IE"/>
        </w:rPr>
        <w:t>model efficiency</w:t>
      </w:r>
      <w:r w:rsidR="00E474D7">
        <w:rPr>
          <w:szCs w:val="22"/>
          <w:highlight w:val="yellow"/>
          <w:lang w:val="en-IE"/>
        </w:rPr>
        <w:t xml:space="preserve">, </w:t>
      </w:r>
      <w:r w:rsidR="00E474D7" w:rsidRPr="00E474D7">
        <w:rPr>
          <w:szCs w:val="22"/>
          <w:highlight w:val="yellow"/>
          <w:lang w:val="en-IE"/>
        </w:rPr>
        <w:t>or r</w:t>
      </w:r>
      <w:r w:rsidR="00E474D7" w:rsidRPr="00E474D7">
        <w:rPr>
          <w:szCs w:val="22"/>
          <w:highlight w:val="yellow"/>
          <w:vertAlign w:val="superscript"/>
          <w:lang w:val="en-IE"/>
        </w:rPr>
        <w:t>2</w:t>
      </w:r>
      <w:r w:rsidR="00E474D7">
        <w:rPr>
          <w:szCs w:val="22"/>
          <w:highlight w:val="yellow"/>
          <w:lang w:val="en-IE"/>
        </w:rPr>
        <w:t>,</w:t>
      </w:r>
      <w:r w:rsidR="00E474D7" w:rsidRPr="00E474D7">
        <w:rPr>
          <w:szCs w:val="22"/>
          <w:highlight w:val="yellow"/>
          <w:lang w:val="en-IE"/>
        </w:rPr>
        <w:t xml:space="preserve"> </w:t>
      </w:r>
      <w:r w:rsidR="004C7877" w:rsidRPr="00E474D7">
        <w:rPr>
          <w:szCs w:val="22"/>
          <w:highlight w:val="yellow"/>
          <w:lang w:val="en-IE"/>
        </w:rPr>
        <w:t>was assessed using the Nash–S</w:t>
      </w:r>
      <w:r w:rsidR="00C34AE1">
        <w:rPr>
          <w:szCs w:val="22"/>
          <w:highlight w:val="yellow"/>
          <w:lang w:val="en-IE"/>
        </w:rPr>
        <w:t xml:space="preserve">utcliffe criterion based on the </w:t>
      </w:r>
      <w:r w:rsidR="004C7877" w:rsidRPr="00E474D7">
        <w:rPr>
          <w:szCs w:val="22"/>
          <w:highlight w:val="yellow"/>
          <w:lang w:val="en-IE"/>
        </w:rPr>
        <w:t xml:space="preserve">volumes in </w:t>
      </w:r>
      <w:r w:rsidR="004C7877" w:rsidRPr="00E474D7">
        <w:rPr>
          <w:szCs w:val="22"/>
          <w:highlight w:val="yellow"/>
          <w:lang w:val="en-IE"/>
        </w:rPr>
        <w:lastRenderedPageBreak/>
        <w:t>each turlough</w:t>
      </w:r>
      <w:r w:rsidR="00E474D7" w:rsidRPr="00E474D7">
        <w:rPr>
          <w:szCs w:val="22"/>
          <w:highlight w:val="yellow"/>
          <w:lang w:val="en-IE"/>
        </w:rPr>
        <w:t>. Values of r</w:t>
      </w:r>
      <w:r w:rsidR="00E474D7" w:rsidRPr="00E474D7">
        <w:rPr>
          <w:szCs w:val="22"/>
          <w:highlight w:val="yellow"/>
          <w:vertAlign w:val="superscript"/>
          <w:lang w:val="en-IE"/>
        </w:rPr>
        <w:t>2</w:t>
      </w:r>
      <w:r w:rsidR="00E474D7" w:rsidRPr="00E474D7">
        <w:rPr>
          <w:szCs w:val="22"/>
          <w:highlight w:val="yellow"/>
          <w:lang w:val="en-IE"/>
        </w:rPr>
        <w:t xml:space="preserve"> for all turloughs </w:t>
      </w:r>
      <w:r w:rsidR="00C34AE1">
        <w:rPr>
          <w:szCs w:val="22"/>
          <w:highlight w:val="yellow"/>
          <w:lang w:val="en-IE"/>
        </w:rPr>
        <w:t>were calculated as 0.81, 0.89, 0.96, 0.97 and 0.96 for Blackrock, Coy, Coole, Garryland and Caherglassaun respectively</w:t>
      </w:r>
      <w:r w:rsidR="00E474D7" w:rsidRPr="00E474D7">
        <w:rPr>
          <w:szCs w:val="22"/>
          <w:highlight w:val="yellow"/>
          <w:lang w:val="en-IE"/>
        </w:rPr>
        <w:t>.</w:t>
      </w:r>
      <w:r w:rsidR="00E474D7" w:rsidRPr="00BC57D5">
        <w:rPr>
          <w:color w:val="FF0000"/>
          <w:szCs w:val="22"/>
          <w:lang w:val="en-IE"/>
        </w:rPr>
        <w:t xml:space="preserve"> </w:t>
      </w:r>
      <w:r w:rsidR="0021481D">
        <w:rPr>
          <w:szCs w:val="22"/>
          <w:highlight w:val="yellow"/>
          <w:lang w:val="en-IE"/>
        </w:rPr>
        <w:t xml:space="preserve">It is interesting to note that the process of calibrating the </w:t>
      </w:r>
      <w:r w:rsidR="00436F8C" w:rsidRPr="006472BA">
        <w:rPr>
          <w:szCs w:val="22"/>
          <w:highlight w:val="yellow"/>
          <w:lang w:val="en-IE"/>
        </w:rPr>
        <w:t>model</w:t>
      </w:r>
      <w:r w:rsidR="0021481D">
        <w:rPr>
          <w:szCs w:val="22"/>
          <w:highlight w:val="yellow"/>
          <w:lang w:val="en-IE"/>
        </w:rPr>
        <w:t xml:space="preserve"> revealed that the flooding dynamics of the turloughs were much more linked to </w:t>
      </w:r>
      <w:r w:rsidR="00436F8C" w:rsidRPr="006472BA">
        <w:rPr>
          <w:szCs w:val="22"/>
          <w:highlight w:val="yellow"/>
          <w:lang w:val="en-IE"/>
        </w:rPr>
        <w:t xml:space="preserve">the effect of </w:t>
      </w:r>
      <w:r w:rsidR="006472BA" w:rsidRPr="006472BA">
        <w:rPr>
          <w:szCs w:val="22"/>
          <w:highlight w:val="yellow"/>
          <w:lang w:val="en-IE"/>
        </w:rPr>
        <w:t>cumulative rainfall</w:t>
      </w:r>
      <w:r w:rsidR="00436F8C" w:rsidRPr="006472BA">
        <w:rPr>
          <w:szCs w:val="22"/>
          <w:highlight w:val="yellow"/>
          <w:lang w:val="en-IE"/>
        </w:rPr>
        <w:t xml:space="preserve"> </w:t>
      </w:r>
      <w:r w:rsidR="0021481D">
        <w:rPr>
          <w:szCs w:val="22"/>
          <w:highlight w:val="yellow"/>
          <w:lang w:val="en-IE"/>
        </w:rPr>
        <w:t xml:space="preserve">as opposed to </w:t>
      </w:r>
      <w:r w:rsidR="00436F8C" w:rsidRPr="006472BA">
        <w:rPr>
          <w:szCs w:val="22"/>
          <w:highlight w:val="yellow"/>
          <w:lang w:val="en-IE"/>
        </w:rPr>
        <w:t xml:space="preserve">individual rainfall events, which typically don’t </w:t>
      </w:r>
      <w:r w:rsidR="0021481D">
        <w:rPr>
          <w:szCs w:val="22"/>
          <w:highlight w:val="yellow"/>
          <w:lang w:val="en-IE"/>
        </w:rPr>
        <w:t xml:space="preserve">promote fast response in </w:t>
      </w:r>
      <w:r w:rsidR="00436F8C" w:rsidRPr="006472BA">
        <w:rPr>
          <w:szCs w:val="22"/>
          <w:highlight w:val="yellow"/>
          <w:lang w:val="en-IE"/>
        </w:rPr>
        <w:t>the turlough</w:t>
      </w:r>
      <w:r w:rsidR="0021481D">
        <w:rPr>
          <w:szCs w:val="22"/>
          <w:highlight w:val="yellow"/>
          <w:lang w:val="en-IE"/>
        </w:rPr>
        <w:t xml:space="preserve"> water levels</w:t>
      </w:r>
      <w:r w:rsidR="00436F8C" w:rsidRPr="006472BA">
        <w:rPr>
          <w:szCs w:val="22"/>
          <w:highlight w:val="yellow"/>
          <w:lang w:val="en-IE"/>
        </w:rPr>
        <w:t>.</w:t>
      </w:r>
      <w:r w:rsidR="00436F8C" w:rsidRPr="006472BA">
        <w:rPr>
          <w:szCs w:val="22"/>
          <w:lang w:val="en-IE"/>
        </w:rPr>
        <w:t xml:space="preserve"> </w:t>
      </w:r>
      <w:r w:rsidRPr="00054BE0">
        <w:rPr>
          <w:szCs w:val="22"/>
          <w:lang w:val="en-IE"/>
        </w:rPr>
        <w:t xml:space="preserve">The use of this model to predict turlough water levels and submarine groundwater discharge has been discussed previously by </w:t>
      </w:r>
      <w:hyperlink w:anchor="_ENREF_16" w:tooltip="Gill, 2013 #412" w:history="1">
        <w:r w:rsidR="006B35EC" w:rsidRPr="00054BE0">
          <w:rPr>
            <w:szCs w:val="22"/>
            <w:lang w:val="en-IE"/>
          </w:rPr>
          <w:fldChar w:fldCharType="begin"/>
        </w:r>
        <w:r w:rsidR="006B35EC">
          <w:rPr>
            <w:szCs w:val="22"/>
            <w:lang w:val="en-IE"/>
          </w:rPr>
          <w:instrText xml:space="preserve"> ADDIN EN.CITE &lt;EndNote&gt;&lt;Cite AuthorYear="1"&gt;&lt;Author&gt;Gill&lt;/Author&gt;&lt;Year&gt;2013&lt;/Year&gt;&lt;RecNum&gt;412&lt;/RecNum&gt;&lt;DisplayText&gt;Gill et al. (2013a)&lt;/DisplayText&gt;&lt;record&gt;&lt;rec-number&gt;412&lt;/rec-number&gt;&lt;foreign-keys&gt;&lt;key app="EN" db-id="dswvr2vdivtsvfepswzvft9gtsxe5zxfaavp" timestamp="1369822045"&gt;412&lt;/key&gt;&lt;/foreign-keys&gt;&lt;ref-type name="Journal Article"&gt;17&lt;/ref-type&gt;&lt;contributors&gt;&lt;authors&gt;&lt;author&gt;Gill, L.W.&lt;/author&gt;&lt;author&gt;Naughton, O.&lt;/author&gt;&lt;author&gt;Johnston, P.&lt;/author&gt;&lt;/authors&gt;&lt;/contributors&gt;&lt;titles&gt;&lt;title&gt;Modelling a network of turloughs in lowland karst&lt;/title&gt;&lt;secondary-title&gt;Water Resources Research&lt;/secondary-title&gt;&lt;/titles&gt;&lt;periodical&gt;&lt;full-title&gt;Water Resources Research&lt;/full-title&gt;&lt;/periodical&gt;&lt;pages&gt;3487-3503&lt;/pages&gt;&lt;volume&gt;49&lt;/volume&gt;&lt;number&gt;6&lt;/number&gt;&lt;dates&gt;&lt;year&gt;2013&lt;/year&gt;&lt;/dates&gt;&lt;urls&gt;&lt;/urls&gt;&lt;/record&gt;&lt;/Cite&gt;&lt;/EndNote&gt;</w:instrText>
        </w:r>
        <w:r w:rsidR="006B35EC" w:rsidRPr="00054BE0">
          <w:rPr>
            <w:szCs w:val="22"/>
            <w:lang w:val="en-IE"/>
          </w:rPr>
          <w:fldChar w:fldCharType="separate"/>
        </w:r>
        <w:r w:rsidR="006B35EC">
          <w:rPr>
            <w:noProof/>
            <w:szCs w:val="22"/>
            <w:lang w:val="en-IE"/>
          </w:rPr>
          <w:t>Gill et al. (2013a)</w:t>
        </w:r>
        <w:r w:rsidR="006B35EC" w:rsidRPr="00054BE0">
          <w:rPr>
            <w:szCs w:val="22"/>
            <w:lang w:val="en-IE"/>
          </w:rPr>
          <w:fldChar w:fldCharType="end"/>
        </w:r>
      </w:hyperlink>
      <w:r w:rsidRPr="00054BE0">
        <w:rPr>
          <w:szCs w:val="22"/>
          <w:lang w:val="en-IE"/>
        </w:rPr>
        <w:t xml:space="preserve"> </w:t>
      </w:r>
      <w:r w:rsidR="000F2DD5">
        <w:rPr>
          <w:szCs w:val="22"/>
          <w:lang w:val="en-IE"/>
        </w:rPr>
        <w:t xml:space="preserve">and </w:t>
      </w:r>
      <w:hyperlink w:anchor="_ENREF_24" w:tooltip="McCormack, 2014 #590" w:history="1">
        <w:r w:rsidR="006B35EC">
          <w:rPr>
            <w:szCs w:val="22"/>
            <w:lang w:val="en-IE"/>
          </w:rPr>
          <w:fldChar w:fldCharType="begin"/>
        </w:r>
        <w:r w:rsidR="006B35EC">
          <w:rPr>
            <w:szCs w:val="22"/>
            <w:lang w:val="en-IE"/>
          </w:rPr>
          <w:instrText xml:space="preserve"> ADDIN EN.CITE &lt;EndNote&gt;&lt;Cite AuthorYear="1"&gt;&lt;Author&gt;McCormack&lt;/Author&gt;&lt;Year&gt;2014&lt;/Year&gt;&lt;RecNum&gt;590&lt;/RecNum&gt;&lt;DisplayText&gt;McCormack et al. (2014)&lt;/DisplayText&gt;&lt;record&gt;&lt;rec-number&gt;590&lt;/rec-number&gt;&lt;foreign-keys&gt;&lt;key app="EN" db-id="dswvr2vdivtsvfepswzvft9gtsxe5zxfaavp" timestamp="1414572943"&gt;590&lt;/key&gt;&lt;/foreign-keys&gt;&lt;ref-type name="Journal Article"&gt;17&lt;/ref-type&gt;&lt;contributors&gt;&lt;authors&gt;&lt;author&gt;McCormack, T.&lt;/author&gt;&lt;author&gt;Gill, L. W.&lt;/author&gt;&lt;author&gt;Naughton, O.&lt;/author&gt;&lt;author&gt;Johnston, P. M.&lt;/author&gt;&lt;/authors&gt;&lt;/contributors&gt;&lt;titles&gt;&lt;title&gt;Quantification of submarine/intertidal groundwater discharge and nutrient loading from a lowland karst catchment&lt;/title&gt;&lt;secondary-title&gt;Journal of Hydrology&lt;/secondary-title&gt;&lt;/titles&gt;&lt;periodical&gt;&lt;full-title&gt;Journal of Hydrology&lt;/full-title&gt;&lt;/periodical&gt;&lt;pages&gt;2318-2330&lt;/pages&gt;&lt;volume&gt;519, Part B&lt;/volume&gt;&lt;number&gt;0&lt;/number&gt;&lt;keywords&gt;&lt;keyword&gt;Submarine groundwater discharge&lt;/keyword&gt;&lt;keyword&gt;Karst&lt;/keyword&gt;&lt;keyword&gt;Modelling&lt;/keyword&gt;&lt;keyword&gt;Salinity&lt;/keyword&gt;&lt;keyword&gt;Nutrient loading&lt;/keyword&gt;&lt;keyword&gt;Ireland&lt;/keyword&gt;&lt;/keywords&gt;&lt;dates&gt;&lt;year&gt;2014&lt;/year&gt;&lt;pub-dates&gt;&lt;date&gt;11/27/&lt;/date&gt;&lt;/pub-dates&gt;&lt;/dates&gt;&lt;isbn&gt;0022-1694&lt;/isbn&gt;&lt;urls&gt;&lt;related-urls&gt;&lt;url&gt;http://www.sciencedirect.com/science/article/pii/S0022169414007781&lt;/url&gt;&lt;/related-urls&gt;&lt;/urls&gt;&lt;electronic-resource-num&gt;http://dx.doi.org/10.1016/j.jhydrol.2014.09.086&lt;/electronic-resource-num&gt;&lt;/record&gt;&lt;/Cite&gt;&lt;/EndNote&gt;</w:instrText>
        </w:r>
        <w:r w:rsidR="006B35EC">
          <w:rPr>
            <w:szCs w:val="22"/>
            <w:lang w:val="en-IE"/>
          </w:rPr>
          <w:fldChar w:fldCharType="separate"/>
        </w:r>
        <w:r w:rsidR="006B35EC">
          <w:rPr>
            <w:noProof/>
            <w:szCs w:val="22"/>
            <w:lang w:val="en-IE"/>
          </w:rPr>
          <w:t>McCormack et al. (2014)</w:t>
        </w:r>
        <w:r w:rsidR="006B35EC">
          <w:rPr>
            <w:szCs w:val="22"/>
            <w:lang w:val="en-IE"/>
          </w:rPr>
          <w:fldChar w:fldCharType="end"/>
        </w:r>
      </w:hyperlink>
      <w:r w:rsidR="000F2DD5">
        <w:rPr>
          <w:szCs w:val="22"/>
          <w:lang w:val="en-IE"/>
        </w:rPr>
        <w:t xml:space="preserve">. </w:t>
      </w:r>
      <w:r w:rsidR="005C0FBC" w:rsidRPr="00355858">
        <w:rPr>
          <w:szCs w:val="22"/>
          <w:lang w:val="en-IE"/>
        </w:rPr>
        <w:t xml:space="preserve">For </w:t>
      </w:r>
      <w:r w:rsidR="005C0FBC">
        <w:rPr>
          <w:color w:val="000000" w:themeColor="text1"/>
          <w:szCs w:val="22"/>
          <w:lang w:val="en-IE"/>
        </w:rPr>
        <w:t xml:space="preserve">this </w:t>
      </w:r>
      <w:r w:rsidR="00054BE0">
        <w:rPr>
          <w:color w:val="000000" w:themeColor="text1"/>
          <w:szCs w:val="22"/>
          <w:lang w:val="en-IE"/>
        </w:rPr>
        <w:t xml:space="preserve">study, the model </w:t>
      </w:r>
      <w:r w:rsidR="005C0FBC">
        <w:rPr>
          <w:color w:val="000000" w:themeColor="text1"/>
          <w:szCs w:val="22"/>
          <w:lang w:val="en-IE"/>
        </w:rPr>
        <w:t>was</w:t>
      </w:r>
      <w:r w:rsidR="00054BE0">
        <w:rPr>
          <w:color w:val="000000" w:themeColor="text1"/>
          <w:szCs w:val="22"/>
          <w:lang w:val="en-IE"/>
        </w:rPr>
        <w:t xml:space="preserve"> adapted to simulate the movement of nutrients within the </w:t>
      </w:r>
      <w:r w:rsidR="00054BE0" w:rsidRPr="00C30A14">
        <w:rPr>
          <w:szCs w:val="22"/>
          <w:lang w:val="en-IE"/>
        </w:rPr>
        <w:t>system</w:t>
      </w:r>
      <w:r w:rsidR="00E474D7" w:rsidRPr="00C30A14">
        <w:rPr>
          <w:szCs w:val="22"/>
          <w:lang w:val="en-IE"/>
        </w:rPr>
        <w:t xml:space="preserve"> (for a schematic illustration of the model, see</w:t>
      </w:r>
      <w:r w:rsidR="00C30A14">
        <w:rPr>
          <w:szCs w:val="22"/>
          <w:lang w:val="en-IE"/>
        </w:rPr>
        <w:t xml:space="preserve"> </w:t>
      </w:r>
      <w:r w:rsidR="00C30A14">
        <w:rPr>
          <w:szCs w:val="22"/>
          <w:lang w:val="en-IE"/>
        </w:rPr>
        <w:fldChar w:fldCharType="begin"/>
      </w:r>
      <w:r w:rsidR="00C30A14">
        <w:rPr>
          <w:szCs w:val="22"/>
          <w:lang w:val="en-IE"/>
        </w:rPr>
        <w:instrText xml:space="preserve"> REF _Ref385517867 \h </w:instrText>
      </w:r>
      <w:r w:rsidR="00C30A14">
        <w:rPr>
          <w:szCs w:val="22"/>
          <w:lang w:val="en-IE"/>
        </w:rPr>
      </w:r>
      <w:r w:rsidR="00C30A14">
        <w:rPr>
          <w:szCs w:val="22"/>
          <w:lang w:val="en-IE"/>
        </w:rPr>
        <w:fldChar w:fldCharType="separate"/>
      </w:r>
      <w:r w:rsidR="00C30A14">
        <w:t xml:space="preserve">Figure </w:t>
      </w:r>
      <w:r w:rsidR="00C30A14">
        <w:rPr>
          <w:noProof/>
        </w:rPr>
        <w:t>3</w:t>
      </w:r>
      <w:r w:rsidR="00C30A14">
        <w:rPr>
          <w:szCs w:val="22"/>
          <w:lang w:val="en-IE"/>
        </w:rPr>
        <w:fldChar w:fldCharType="end"/>
      </w:r>
      <w:r w:rsidR="00E474D7" w:rsidRPr="00C30A14">
        <w:rPr>
          <w:szCs w:val="22"/>
          <w:lang w:val="en-IE"/>
        </w:rPr>
        <w:t>).</w:t>
      </w:r>
      <w:r w:rsidR="009311A6" w:rsidRPr="00C30A14">
        <w:rPr>
          <w:szCs w:val="22"/>
          <w:lang w:val="en-IE"/>
        </w:rPr>
        <w:t xml:space="preserve"> </w:t>
      </w:r>
    </w:p>
    <w:p w:rsidR="00BA212A" w:rsidRDefault="00BA212A" w:rsidP="00871DFC">
      <w:pPr>
        <w:rPr>
          <w:szCs w:val="22"/>
          <w:lang w:val="en-IE"/>
        </w:rPr>
      </w:pPr>
    </w:p>
    <w:p w:rsidR="00283DB9" w:rsidRPr="00283DB9" w:rsidRDefault="000B42E3" w:rsidP="000B42E3">
      <w:pPr>
        <w:pStyle w:val="Heading1"/>
        <w:rPr>
          <w:shd w:val="clear" w:color="auto" w:fill="FFFFFF"/>
        </w:rPr>
      </w:pPr>
      <w:r>
        <w:rPr>
          <w:shd w:val="clear" w:color="auto" w:fill="FFFFFF"/>
        </w:rPr>
        <w:t>Methodology</w:t>
      </w:r>
    </w:p>
    <w:p w:rsidR="00E52368" w:rsidRDefault="00E52368" w:rsidP="00E52368">
      <w:pPr>
        <w:rPr>
          <w:shd w:val="clear" w:color="auto" w:fill="FFFFFF"/>
        </w:rPr>
      </w:pPr>
      <w:r>
        <w:rPr>
          <w:shd w:val="clear" w:color="auto" w:fill="FFFFFF"/>
        </w:rPr>
        <w:t>The overall strategy of this</w:t>
      </w:r>
      <w:r w:rsidR="006974E8">
        <w:rPr>
          <w:shd w:val="clear" w:color="auto" w:fill="FFFFFF"/>
        </w:rPr>
        <w:t xml:space="preserve"> study</w:t>
      </w:r>
      <w:r>
        <w:rPr>
          <w:shd w:val="clear" w:color="auto" w:fill="FFFFFF"/>
        </w:rPr>
        <w:t xml:space="preserve"> was </w:t>
      </w:r>
      <w:r w:rsidR="00653757" w:rsidRPr="00653757">
        <w:rPr>
          <w:shd w:val="clear" w:color="auto" w:fill="FFFFFF"/>
        </w:rPr>
        <w:t>to characterize the fate and transport of nutrients carried by the groundwater flows through the karst aquifer with special emphasis</w:t>
      </w:r>
      <w:r>
        <w:rPr>
          <w:shd w:val="clear" w:color="auto" w:fill="FFFFFF"/>
        </w:rPr>
        <w:t xml:space="preserve"> on the </w:t>
      </w:r>
      <w:r w:rsidR="006974E8">
        <w:rPr>
          <w:shd w:val="clear" w:color="auto" w:fill="FFFFFF"/>
        </w:rPr>
        <w:t xml:space="preserve">sensitive </w:t>
      </w:r>
      <w:r>
        <w:rPr>
          <w:shd w:val="clear" w:color="auto" w:fill="FFFFFF"/>
        </w:rPr>
        <w:t>turlough</w:t>
      </w:r>
      <w:r w:rsidR="006974E8">
        <w:rPr>
          <w:shd w:val="clear" w:color="auto" w:fill="FFFFFF"/>
        </w:rPr>
        <w:t xml:space="preserve"> ecosystems</w:t>
      </w:r>
      <w:r>
        <w:rPr>
          <w:shd w:val="clear" w:color="auto" w:fill="FFFFFF"/>
        </w:rPr>
        <w:t>. In addition, alkalinity sampling was carried out in an effort to understand the movement and source of water. The hydraulic model was used to predict how nutrients should behave conservatively in turloughs and then compared to the actual nutrient concentration results within the turlo</w:t>
      </w:r>
      <w:r w:rsidR="000F2DD5">
        <w:rPr>
          <w:shd w:val="clear" w:color="auto" w:fill="FFFFFF"/>
        </w:rPr>
        <w:t>ughs from the field-</w:t>
      </w:r>
      <w:r>
        <w:rPr>
          <w:shd w:val="clear" w:color="auto" w:fill="FFFFFF"/>
        </w:rPr>
        <w:t xml:space="preserve">work sampling. </w:t>
      </w:r>
    </w:p>
    <w:p w:rsidR="005D045C" w:rsidRDefault="005D045C" w:rsidP="005D045C">
      <w:pPr>
        <w:rPr>
          <w:shd w:val="clear" w:color="auto" w:fill="FFFFFF"/>
        </w:rPr>
      </w:pPr>
    </w:p>
    <w:p w:rsidR="00600141" w:rsidRDefault="00600141" w:rsidP="00600141">
      <w:pPr>
        <w:pStyle w:val="Heading2"/>
        <w:rPr>
          <w:shd w:val="clear" w:color="auto" w:fill="FFFFFF"/>
        </w:rPr>
      </w:pPr>
      <w:proofErr w:type="spellStart"/>
      <w:r>
        <w:rPr>
          <w:shd w:val="clear" w:color="auto" w:fill="FFFFFF"/>
        </w:rPr>
        <w:t>Hydrometry</w:t>
      </w:r>
      <w:proofErr w:type="spellEnd"/>
    </w:p>
    <w:p w:rsidR="00E52368" w:rsidRDefault="00E52368" w:rsidP="00E52368">
      <w:pPr>
        <w:rPr>
          <w:sz w:val="20"/>
          <w:shd w:val="clear" w:color="auto" w:fill="FFFFFF"/>
        </w:rPr>
      </w:pPr>
      <w:r>
        <w:rPr>
          <w:lang w:val="en-IE"/>
        </w:rPr>
        <w:t>Water levels in all turloughs were monitored using Mini-Diver</w:t>
      </w:r>
      <w:r>
        <w:rPr>
          <w:vertAlign w:val="superscript"/>
          <w:lang w:val="en-IE"/>
        </w:rPr>
        <w:t>®</w:t>
      </w:r>
      <w:r>
        <w:rPr>
          <w:lang w:val="en-IE"/>
        </w:rPr>
        <w:t xml:space="preserve"> DI501 and DI502 monitors (Schlumberger Water Services) placed at the lowest point in each turlough. Compensation for the variation in prevailing air pressure was made using a </w:t>
      </w:r>
      <w:proofErr w:type="spellStart"/>
      <w:r>
        <w:rPr>
          <w:lang w:val="en-IE"/>
        </w:rPr>
        <w:t>BaroDiver</w:t>
      </w:r>
      <w:proofErr w:type="spellEnd"/>
      <w:r>
        <w:rPr>
          <w:vertAlign w:val="superscript"/>
          <w:lang w:val="en-IE"/>
        </w:rPr>
        <w:t>®</w:t>
      </w:r>
      <w:r>
        <w:rPr>
          <w:lang w:val="en-IE"/>
        </w:rPr>
        <w:t xml:space="preserve"> (DI500) which was installed at ground level near </w:t>
      </w:r>
      <w:proofErr w:type="gramStart"/>
      <w:r>
        <w:rPr>
          <w:lang w:val="en-IE"/>
        </w:rPr>
        <w:t>Coy</w:t>
      </w:r>
      <w:proofErr w:type="gramEnd"/>
      <w:r>
        <w:rPr>
          <w:lang w:val="en-IE"/>
        </w:rPr>
        <w:t xml:space="preserve"> turlough. The locations of the diver platforms were surveyed via GPS which allowed the water depth readings to be referenced against Ordnance Datum.</w:t>
      </w:r>
    </w:p>
    <w:p w:rsidR="00E52368" w:rsidRDefault="00E52368" w:rsidP="00E52368">
      <w:pPr>
        <w:rPr>
          <w:shd w:val="clear" w:color="auto" w:fill="FFFFFF"/>
        </w:rPr>
      </w:pPr>
    </w:p>
    <w:p w:rsidR="00E52368" w:rsidRDefault="00E52368" w:rsidP="00E52368">
      <w:pPr>
        <w:rPr>
          <w:lang w:val="en-IE"/>
        </w:rPr>
      </w:pPr>
      <w:r>
        <w:rPr>
          <w:lang w:val="en-IE"/>
        </w:rPr>
        <w:t xml:space="preserve">Two tipping bucket ARG100 rain gauges </w:t>
      </w:r>
      <w:r w:rsidRPr="005A249F">
        <w:rPr>
          <w:highlight w:val="cyan"/>
          <w:lang w:val="en-IE"/>
        </w:rPr>
        <w:t>(Environmental Measurement Ltd.</w:t>
      </w:r>
      <w:r w:rsidR="00244BE0" w:rsidRPr="005A249F">
        <w:rPr>
          <w:highlight w:val="cyan"/>
          <w:lang w:val="en-IE"/>
        </w:rPr>
        <w:t>, North Shields, UK</w:t>
      </w:r>
      <w:r w:rsidRPr="005A249F">
        <w:rPr>
          <w:highlight w:val="cyan"/>
          <w:lang w:val="en-IE"/>
        </w:rPr>
        <w:t>)</w:t>
      </w:r>
      <w:r>
        <w:rPr>
          <w:lang w:val="en-IE"/>
        </w:rPr>
        <w:t xml:space="preserve"> were installed at the upper end of the catchment at Kilchreest</w:t>
      </w:r>
      <w:r w:rsidR="00D171F8">
        <w:rPr>
          <w:lang w:val="en-IE"/>
        </w:rPr>
        <w:t>, 70 meters above ordinance datum (</w:t>
      </w:r>
      <w:r>
        <w:rPr>
          <w:lang w:val="en-IE"/>
        </w:rPr>
        <w:t>mAOD)</w:t>
      </w:r>
      <w:r w:rsidR="00D171F8">
        <w:rPr>
          <w:lang w:val="en-IE"/>
        </w:rPr>
        <w:t>,</w:t>
      </w:r>
      <w:r>
        <w:rPr>
          <w:lang w:val="en-IE"/>
        </w:rPr>
        <w:t xml:space="preserve"> and Francis Gap (250 mAOD). In addition, hourly rainfall and evapotranspiration data wa</w:t>
      </w:r>
      <w:r w:rsidR="00247D76">
        <w:rPr>
          <w:lang w:val="en-IE"/>
        </w:rPr>
        <w:t>s received from synoptic</w:t>
      </w:r>
      <w:r>
        <w:rPr>
          <w:lang w:val="en-IE"/>
        </w:rPr>
        <w:t xml:space="preserve"> weather stations run by the national weather service, Met Éireann.</w:t>
      </w:r>
    </w:p>
    <w:p w:rsidR="00E52368" w:rsidRDefault="00E52368" w:rsidP="00E52368">
      <w:pPr>
        <w:rPr>
          <w:lang w:val="en-IE"/>
        </w:rPr>
      </w:pPr>
    </w:p>
    <w:p w:rsidR="002A210C" w:rsidRDefault="00E52368" w:rsidP="00E52368">
      <w:pPr>
        <w:rPr>
          <w:szCs w:val="22"/>
          <w:lang w:val="en-IE"/>
        </w:rPr>
      </w:pPr>
      <w:r>
        <w:rPr>
          <w:lang w:val="en-IE"/>
        </w:rPr>
        <w:t>River gauging stations were located on the three primary rivers draining off the</w:t>
      </w:r>
      <w:r w:rsidR="00F26F00">
        <w:rPr>
          <w:lang w:val="en-IE"/>
        </w:rPr>
        <w:t xml:space="preserve"> </w:t>
      </w:r>
      <w:proofErr w:type="spellStart"/>
      <w:r w:rsidR="00E824EE">
        <w:rPr>
          <w:lang w:val="en-IE"/>
        </w:rPr>
        <w:t>m</w:t>
      </w:r>
      <w:r w:rsidR="00F26F00">
        <w:rPr>
          <w:lang w:val="en-IE"/>
        </w:rPr>
        <w:t>ountans</w:t>
      </w:r>
      <w:proofErr w:type="spellEnd"/>
      <w:r>
        <w:rPr>
          <w:lang w:val="en-IE"/>
        </w:rPr>
        <w:t xml:space="preserve">, </w:t>
      </w:r>
      <w:r w:rsidR="00816944">
        <w:rPr>
          <w:lang w:val="en-IE"/>
        </w:rPr>
        <w:t>SA1</w:t>
      </w:r>
      <w:r>
        <w:rPr>
          <w:lang w:val="en-IE"/>
        </w:rPr>
        <w:t xml:space="preserve">, </w:t>
      </w:r>
      <w:r w:rsidR="00816944">
        <w:rPr>
          <w:lang w:val="en-IE"/>
        </w:rPr>
        <w:t>SA2</w:t>
      </w:r>
      <w:r w:rsidR="00F26F00">
        <w:rPr>
          <w:lang w:val="en-IE"/>
        </w:rPr>
        <w:t xml:space="preserve"> </w:t>
      </w:r>
      <w:r>
        <w:rPr>
          <w:lang w:val="en-IE"/>
        </w:rPr>
        <w:t xml:space="preserve">and </w:t>
      </w:r>
      <w:r w:rsidR="00816944">
        <w:rPr>
          <w:lang w:val="en-IE"/>
        </w:rPr>
        <w:t>SA3</w:t>
      </w:r>
      <w:r>
        <w:rPr>
          <w:lang w:val="en-IE"/>
        </w:rPr>
        <w:t xml:space="preserve">, with an additional station located </w:t>
      </w:r>
      <w:r w:rsidR="00816944">
        <w:rPr>
          <w:lang w:val="en-IE"/>
        </w:rPr>
        <w:t>on SA4</w:t>
      </w:r>
      <w:r w:rsidR="00F26F00">
        <w:rPr>
          <w:lang w:val="en-IE"/>
        </w:rPr>
        <w:t xml:space="preserve"> </w:t>
      </w:r>
      <w:r>
        <w:rPr>
          <w:lang w:val="en-IE"/>
        </w:rPr>
        <w:t xml:space="preserve">near the outlet of Lough Cutra. The gauges consisted of a pressure transducer embedded into the river with the </w:t>
      </w:r>
      <w:proofErr w:type="spellStart"/>
      <w:r>
        <w:rPr>
          <w:lang w:val="en-IE"/>
        </w:rPr>
        <w:t>dataloggers</w:t>
      </w:r>
      <w:proofErr w:type="spellEnd"/>
      <w:r>
        <w:rPr>
          <w:lang w:val="en-IE"/>
        </w:rPr>
        <w:t xml:space="preserve"> set to collect data at </w:t>
      </w:r>
      <w:r>
        <w:rPr>
          <w:lang w:val="en-IE"/>
        </w:rPr>
        <w:lastRenderedPageBreak/>
        <w:t xml:space="preserve">15 minute </w:t>
      </w:r>
      <w:proofErr w:type="spellStart"/>
      <w:r>
        <w:rPr>
          <w:lang w:val="en-IE"/>
        </w:rPr>
        <w:t>timesteps</w:t>
      </w:r>
      <w:proofErr w:type="spellEnd"/>
      <w:r>
        <w:rPr>
          <w:lang w:val="en-IE"/>
        </w:rPr>
        <w:t xml:space="preserve">. </w:t>
      </w:r>
      <w:r>
        <w:rPr>
          <w:szCs w:val="22"/>
          <w:lang w:val="en-IE"/>
        </w:rPr>
        <w:t>Rating curves were developed for each gauging station (see Figure 3) using the mid-section velocity depth surveying method</w:t>
      </w:r>
      <w:r w:rsidR="00244BE0">
        <w:rPr>
          <w:szCs w:val="22"/>
          <w:lang w:val="en-IE"/>
        </w:rPr>
        <w:t xml:space="preserve"> </w:t>
      </w:r>
      <w:r w:rsidR="00244BE0" w:rsidRPr="005A249F">
        <w:rPr>
          <w:szCs w:val="22"/>
          <w:highlight w:val="cyan"/>
          <w:lang w:val="en-IE"/>
        </w:rPr>
        <w:fldChar w:fldCharType="begin"/>
      </w:r>
      <w:r w:rsidR="00244BE0" w:rsidRPr="005A249F">
        <w:rPr>
          <w:szCs w:val="22"/>
          <w:highlight w:val="cyan"/>
          <w:lang w:val="en-IE"/>
        </w:rPr>
        <w:instrText xml:space="preserve"> ADDIN EN.CITE &lt;EndNote&gt;&lt;Cite&gt;&lt;Author&gt;Shaw&lt;/Author&gt;&lt;Year&gt;2011&lt;/Year&gt;&lt;RecNum&gt;135&lt;/RecNum&gt;&lt;DisplayText&gt;(Shaw, 2011)&lt;/DisplayText&gt;&lt;record&gt;&lt;rec-number&gt;135&lt;/rec-number&gt;&lt;foreign-keys&gt;&lt;key app="EN" db-id="dswvr2vdivtsvfepswzvft9gtsxe5zxfaavp" timestamp="1325783764"&gt;135&lt;/key&gt;&lt;/foreign-keys&gt;&lt;ref-type name="Book"&gt;6&lt;/ref-type&gt;&lt;contributors&gt;&lt;authors&gt;&lt;author&gt;Shaw, E. M.&lt;/author&gt;&lt;/authors&gt;&lt;/contributors&gt;&lt;titles&gt;&lt;title&gt;&lt;style face="normal" font="default" size="100%"&gt;Hydrology in Practice (4&lt;/style&gt;&lt;style face="superscript" font="default" size="100%"&gt;th&lt;/style&gt;&lt;style face="normal" font="default" size="100%"&gt; edition)&lt;/style&gt;&lt;/title&gt;&lt;/titles&gt;&lt;dates&gt;&lt;year&gt;2011&lt;/year&gt;&lt;/dates&gt;&lt;pub-location&gt;London&lt;/pub-location&gt;&lt;publisher&gt;Chapman and Hall&lt;/publisher&gt;&lt;urls&gt;&lt;/urls&gt;&lt;/record&gt;&lt;/Cite&gt;&lt;/EndNote&gt;</w:instrText>
      </w:r>
      <w:r w:rsidR="00244BE0" w:rsidRPr="005A249F">
        <w:rPr>
          <w:szCs w:val="22"/>
          <w:highlight w:val="cyan"/>
          <w:lang w:val="en-IE"/>
        </w:rPr>
        <w:fldChar w:fldCharType="separate"/>
      </w:r>
      <w:r w:rsidR="00244BE0" w:rsidRPr="005A249F">
        <w:rPr>
          <w:noProof/>
          <w:szCs w:val="22"/>
          <w:highlight w:val="cyan"/>
          <w:lang w:val="en-IE"/>
        </w:rPr>
        <w:t>(</w:t>
      </w:r>
      <w:hyperlink w:anchor="_ENREF_35" w:tooltip="Shaw, 2011 #135" w:history="1">
        <w:r w:rsidR="006B35EC" w:rsidRPr="005A249F">
          <w:rPr>
            <w:noProof/>
            <w:szCs w:val="22"/>
            <w:highlight w:val="cyan"/>
            <w:lang w:val="en-IE"/>
          </w:rPr>
          <w:t>Shaw, 2011</w:t>
        </w:r>
      </w:hyperlink>
      <w:r w:rsidR="00244BE0" w:rsidRPr="005A249F">
        <w:rPr>
          <w:noProof/>
          <w:szCs w:val="22"/>
          <w:highlight w:val="cyan"/>
          <w:lang w:val="en-IE"/>
        </w:rPr>
        <w:t>)</w:t>
      </w:r>
      <w:r w:rsidR="00244BE0" w:rsidRPr="005A249F">
        <w:rPr>
          <w:szCs w:val="22"/>
          <w:highlight w:val="cyan"/>
          <w:lang w:val="en-IE"/>
        </w:rPr>
        <w:fldChar w:fldCharType="end"/>
      </w:r>
      <w:r>
        <w:rPr>
          <w:szCs w:val="22"/>
          <w:lang w:val="en-IE"/>
        </w:rPr>
        <w:t>.</w:t>
      </w:r>
      <w:r w:rsidR="009B3CD5">
        <w:rPr>
          <w:szCs w:val="22"/>
          <w:lang w:val="en-IE"/>
        </w:rPr>
        <w:t xml:space="preserve"> </w:t>
      </w:r>
    </w:p>
    <w:p w:rsidR="00E52368" w:rsidRDefault="00E52368" w:rsidP="00E52368">
      <w:pPr>
        <w:rPr>
          <w:shd w:val="clear" w:color="auto" w:fill="FFFFFF"/>
        </w:rPr>
      </w:pPr>
    </w:p>
    <w:p w:rsidR="002A210C" w:rsidRDefault="002A210C" w:rsidP="002A210C">
      <w:pPr>
        <w:pStyle w:val="Heading2"/>
        <w:rPr>
          <w:shd w:val="clear" w:color="auto" w:fill="FFFFFF"/>
        </w:rPr>
      </w:pPr>
      <w:r>
        <w:rPr>
          <w:shd w:val="clear" w:color="auto" w:fill="FFFFFF"/>
        </w:rPr>
        <w:t>Hydrochemistry</w:t>
      </w:r>
    </w:p>
    <w:p w:rsidR="00590842" w:rsidRDefault="006974E8" w:rsidP="00784E54">
      <w:pPr>
        <w:rPr>
          <w:lang w:val="en-IE"/>
        </w:rPr>
      </w:pPr>
      <w:r>
        <w:rPr>
          <w:szCs w:val="22"/>
          <w:lang w:val="en-IE"/>
        </w:rPr>
        <w:t>M</w:t>
      </w:r>
      <w:r w:rsidR="00E52368">
        <w:rPr>
          <w:szCs w:val="22"/>
          <w:lang w:val="en-IE"/>
        </w:rPr>
        <w:t>onthly sampling was carried at turloughs, rive</w:t>
      </w:r>
      <w:r w:rsidR="0091304E">
        <w:rPr>
          <w:szCs w:val="22"/>
          <w:lang w:val="en-IE"/>
        </w:rPr>
        <w:t>rs, springs and two upland sites (F and PE)</w:t>
      </w:r>
      <w:r w:rsidRPr="006974E8">
        <w:rPr>
          <w:szCs w:val="22"/>
          <w:lang w:val="en-IE"/>
        </w:rPr>
        <w:t xml:space="preserve"> </w:t>
      </w:r>
      <w:r>
        <w:rPr>
          <w:szCs w:val="22"/>
          <w:lang w:val="en-IE"/>
        </w:rPr>
        <w:t>between March 2010 and March 2013</w:t>
      </w:r>
      <w:r w:rsidR="00AE6AFB">
        <w:rPr>
          <w:szCs w:val="22"/>
          <w:lang w:val="en-IE"/>
        </w:rPr>
        <w:t xml:space="preserve">, in addition to </w:t>
      </w:r>
      <w:r w:rsidR="00E52368">
        <w:rPr>
          <w:szCs w:val="22"/>
          <w:lang w:val="en-IE"/>
        </w:rPr>
        <w:t xml:space="preserve">groundwater samples from boreholes and wells within the carboniferous aquifer surrounding the turlough network (see </w:t>
      </w:r>
      <w:r w:rsidR="00E52368">
        <w:rPr>
          <w:szCs w:val="22"/>
          <w:lang w:val="en-IE"/>
        </w:rPr>
        <w:fldChar w:fldCharType="begin"/>
      </w:r>
      <w:r w:rsidR="00E52368">
        <w:rPr>
          <w:szCs w:val="22"/>
          <w:lang w:val="en-IE"/>
        </w:rPr>
        <w:instrText xml:space="preserve"> REF _Ref385517867 \h  \* MERGEFORMAT </w:instrText>
      </w:r>
      <w:r w:rsidR="00E52368">
        <w:rPr>
          <w:szCs w:val="22"/>
          <w:lang w:val="en-IE"/>
        </w:rPr>
      </w:r>
      <w:r w:rsidR="00E52368">
        <w:rPr>
          <w:szCs w:val="22"/>
          <w:lang w:val="en-IE"/>
        </w:rPr>
        <w:fldChar w:fldCharType="separate"/>
      </w:r>
      <w:r w:rsidR="00E40475" w:rsidRPr="00E40475">
        <w:rPr>
          <w:szCs w:val="22"/>
        </w:rPr>
        <w:t xml:space="preserve">Figure </w:t>
      </w:r>
      <w:r w:rsidR="00E40475" w:rsidRPr="00E40475">
        <w:rPr>
          <w:noProof/>
          <w:szCs w:val="22"/>
        </w:rPr>
        <w:t>3</w:t>
      </w:r>
      <w:r w:rsidR="00E52368">
        <w:rPr>
          <w:szCs w:val="22"/>
          <w:lang w:val="en-IE"/>
        </w:rPr>
        <w:fldChar w:fldCharType="end"/>
      </w:r>
      <w:r w:rsidR="00E52368">
        <w:rPr>
          <w:szCs w:val="22"/>
          <w:lang w:val="en-IE"/>
        </w:rPr>
        <w:t xml:space="preserve">). Water samples were tested within 24 hours </w:t>
      </w:r>
      <w:r>
        <w:rPr>
          <w:szCs w:val="22"/>
          <w:lang w:val="en-IE"/>
        </w:rPr>
        <w:t>of collection</w:t>
      </w:r>
      <w:r w:rsidR="00E52368">
        <w:rPr>
          <w:szCs w:val="22"/>
          <w:lang w:val="en-IE"/>
        </w:rPr>
        <w:t xml:space="preserve">. Samples were tested for alkalinity based on Standard Methods </w:t>
      </w:r>
      <w:r w:rsidR="00E52368">
        <w:rPr>
          <w:szCs w:val="22"/>
          <w:lang w:val="en-IE"/>
        </w:rPr>
        <w:fldChar w:fldCharType="begin"/>
      </w:r>
      <w:r w:rsidR="00575CDF">
        <w:rPr>
          <w:szCs w:val="22"/>
          <w:lang w:val="en-IE"/>
        </w:rPr>
        <w:instrText xml:space="preserve"> ADDIN EN.CITE &lt;EndNote&gt;&lt;Cite&gt;&lt;Author&gt;APHA&lt;/Author&gt;&lt;Year&gt;1999&lt;/Year&gt;&lt;RecNum&gt;383&lt;/RecNum&gt;&lt;DisplayText&gt;(APHA, 1999)&lt;/DisplayText&gt;&lt;record&gt;&lt;rec-number&gt;383&lt;/rec-number&gt;&lt;foreign-keys&gt;&lt;key app="EN" db-id="dswvr2vdivtsvfepswzvft9gtsxe5zxfaavp" timestamp="1363726481"&gt;383&lt;/key&gt;&lt;/foreign-keys&gt;&lt;ref-type name="Book"&gt;6&lt;/ref-type&gt;&lt;contributors&gt;&lt;authors&gt;&lt;author&gt;APHA&lt;/author&gt;&lt;/authors&gt;&lt;/contributors&gt;&lt;titles&gt;&lt;title&gt;Standard Methods for Examination of Water &amp;amp; Wastewater&lt;/title&gt;&lt;/titles&gt;&lt;dates&gt;&lt;year&gt;1999&lt;/year&gt;&lt;/dates&gt;&lt;pub-location&gt;Washington D.C.&lt;/pub-location&gt;&lt;publisher&gt;American Public Health Association 20th Edition&lt;/publisher&gt;&lt;urls&gt;&lt;/urls&gt;&lt;/record&gt;&lt;/Cite&gt;&lt;/EndNote&gt;</w:instrText>
      </w:r>
      <w:r w:rsidR="00E52368">
        <w:rPr>
          <w:szCs w:val="22"/>
          <w:lang w:val="en-IE"/>
        </w:rPr>
        <w:fldChar w:fldCharType="separate"/>
      </w:r>
      <w:r w:rsidR="00E52368">
        <w:rPr>
          <w:noProof/>
          <w:szCs w:val="22"/>
          <w:lang w:val="en-IE"/>
        </w:rPr>
        <w:t>(</w:t>
      </w:r>
      <w:hyperlink w:anchor="_ENREF_2" w:tooltip="APHA, 1999 #383" w:history="1">
        <w:r w:rsidR="006B35EC" w:rsidRPr="00E52368">
          <w:rPr>
            <w:noProof/>
          </w:rPr>
          <w:t>APHA, 1999</w:t>
        </w:r>
      </w:hyperlink>
      <w:r w:rsidR="00E52368">
        <w:rPr>
          <w:noProof/>
          <w:szCs w:val="22"/>
          <w:lang w:val="en-IE"/>
        </w:rPr>
        <w:t>)</w:t>
      </w:r>
      <w:r w:rsidR="00E52368">
        <w:rPr>
          <w:szCs w:val="22"/>
          <w:lang w:val="en-IE"/>
        </w:rPr>
        <w:fldChar w:fldCharType="end"/>
      </w:r>
      <w:r w:rsidR="00E52368">
        <w:rPr>
          <w:szCs w:val="22"/>
          <w:lang w:val="en-IE"/>
        </w:rPr>
        <w:t xml:space="preserve">, Total Nitrogen (TN) using cell test kits by Merck (range 0.5-15 mg/l) and </w:t>
      </w:r>
      <w:proofErr w:type="spellStart"/>
      <w:r w:rsidR="00E52368">
        <w:rPr>
          <w:szCs w:val="22"/>
          <w:lang w:val="en-IE"/>
        </w:rPr>
        <w:t>Dr.</w:t>
      </w:r>
      <w:proofErr w:type="spellEnd"/>
      <w:r w:rsidR="00E52368">
        <w:rPr>
          <w:szCs w:val="22"/>
          <w:lang w:val="en-IE"/>
        </w:rPr>
        <w:t xml:space="preserve"> Lange (range 1-16 mg/l), and nitrate (NO</w:t>
      </w:r>
      <w:r w:rsidR="00E52368">
        <w:rPr>
          <w:szCs w:val="22"/>
          <w:vertAlign w:val="subscript"/>
          <w:lang w:val="en-IE"/>
        </w:rPr>
        <w:t>3</w:t>
      </w:r>
      <w:r w:rsidR="00E52368">
        <w:rPr>
          <w:szCs w:val="22"/>
          <w:lang w:val="en-IE"/>
        </w:rPr>
        <w:t>-N) using Merck test kit (range of 0.1-25 mg). Quality control (QC) was carried out for TN and NO</w:t>
      </w:r>
      <w:r w:rsidR="00E52368">
        <w:rPr>
          <w:szCs w:val="22"/>
          <w:vertAlign w:val="subscript"/>
          <w:lang w:val="en-IE"/>
        </w:rPr>
        <w:t>3</w:t>
      </w:r>
      <w:r w:rsidR="00E52368">
        <w:rPr>
          <w:szCs w:val="22"/>
          <w:lang w:val="en-IE"/>
        </w:rPr>
        <w:t xml:space="preserve"> using Merck </w:t>
      </w:r>
      <w:proofErr w:type="spellStart"/>
      <w:r w:rsidR="00E52368">
        <w:rPr>
          <w:szCs w:val="22"/>
          <w:lang w:val="en-IE"/>
        </w:rPr>
        <w:t>Combicheck</w:t>
      </w:r>
      <w:proofErr w:type="spellEnd"/>
      <w:r w:rsidR="00E52368">
        <w:rPr>
          <w:szCs w:val="22"/>
          <w:lang w:val="en-IE"/>
        </w:rPr>
        <w:t xml:space="preserve"> </w:t>
      </w:r>
      <w:r w:rsidR="00E52368" w:rsidRPr="00CE77CE">
        <w:rPr>
          <w:szCs w:val="22"/>
          <w:lang w:val="en-IE"/>
        </w:rPr>
        <w:t>standards</w:t>
      </w:r>
      <w:r w:rsidR="00D171F8" w:rsidRPr="00CE77CE">
        <w:rPr>
          <w:szCs w:val="22"/>
          <w:lang w:val="en-IE"/>
        </w:rPr>
        <w:t xml:space="preserve"> </w:t>
      </w:r>
      <w:r w:rsidR="00D171F8" w:rsidRPr="00CE77CE">
        <w:rPr>
          <w:lang w:val="en-IE"/>
        </w:rPr>
        <w:t>for each batch of monthly samples. If the tested QC sample did not lie within the given range of values (5±0.7mg/l for TN, 9±0.9mg/l for NO</w:t>
      </w:r>
      <w:r w:rsidR="00D171F8" w:rsidRPr="00CE77CE">
        <w:rPr>
          <w:vertAlign w:val="subscript"/>
          <w:lang w:val="en-IE"/>
        </w:rPr>
        <w:t>3</w:t>
      </w:r>
      <w:r w:rsidR="00D171F8" w:rsidRPr="00CE77CE">
        <w:rPr>
          <w:lang w:val="en-IE"/>
        </w:rPr>
        <w:t>), the batch of sa</w:t>
      </w:r>
      <w:r w:rsidR="00DE102F">
        <w:rPr>
          <w:lang w:val="en-IE"/>
        </w:rPr>
        <w:t>mples, and the QC were retested</w:t>
      </w:r>
      <w:r w:rsidR="00E52368" w:rsidRPr="00CE77CE">
        <w:rPr>
          <w:szCs w:val="22"/>
          <w:lang w:val="en-IE"/>
        </w:rPr>
        <w:t xml:space="preserve">. Total Phosphorus (TP) concentrations were determined by acidic </w:t>
      </w:r>
      <w:proofErr w:type="spellStart"/>
      <w:r w:rsidR="00E52368" w:rsidRPr="00CE77CE">
        <w:rPr>
          <w:szCs w:val="22"/>
          <w:lang w:val="en-IE"/>
        </w:rPr>
        <w:t>persulphate</w:t>
      </w:r>
      <w:proofErr w:type="spellEnd"/>
      <w:r w:rsidR="00E52368" w:rsidRPr="00CE77CE">
        <w:rPr>
          <w:szCs w:val="22"/>
          <w:lang w:val="en-IE"/>
        </w:rPr>
        <w:t xml:space="preserve"> digestion of samples at 120°C and subsequent measurement of phosphate by </w:t>
      </w:r>
      <w:proofErr w:type="spellStart"/>
      <w:r w:rsidR="00E52368" w:rsidRPr="00CE77CE">
        <w:rPr>
          <w:szCs w:val="22"/>
          <w:lang w:val="en-IE"/>
        </w:rPr>
        <w:t>colorimetry</w:t>
      </w:r>
      <w:proofErr w:type="spellEnd"/>
      <w:r w:rsidR="00E52368" w:rsidRPr="00CE77CE">
        <w:rPr>
          <w:szCs w:val="22"/>
          <w:lang w:val="en-IE"/>
        </w:rPr>
        <w:t xml:space="preserve"> in accordance with the Standard Methods (APHA, 1999). Total Dissolved Phosphorus (TDP) concentrations were obtained similarly but with the added step of filtration directly after sampling using a 45 micron filter. </w:t>
      </w:r>
      <w:r w:rsidR="00D171F8" w:rsidRPr="00CE77CE">
        <w:rPr>
          <w:lang w:val="en-IE"/>
        </w:rPr>
        <w:t>QC was carried out for P by running a QC sample with each batch of P analyses. This solution was prepared to a specific concentration (0.025 mg/l TP) at the onset of laboratory testing and kept in individual bottles in a freezer. Duplicate samples were also collected and tested to rule out sampling error.</w:t>
      </w:r>
    </w:p>
    <w:p w:rsidR="00926153" w:rsidRPr="00926153" w:rsidRDefault="00926153" w:rsidP="00926153"/>
    <w:p w:rsidR="00BE70CB" w:rsidRPr="00496F71" w:rsidRDefault="002A210C" w:rsidP="00BC4580">
      <w:pPr>
        <w:pStyle w:val="Heading2"/>
        <w:rPr>
          <w:shd w:val="clear" w:color="auto" w:fill="FFFFFF"/>
        </w:rPr>
      </w:pPr>
      <w:bookmarkStart w:id="1" w:name="_Ref386803412"/>
      <w:r>
        <w:rPr>
          <w:shd w:val="clear" w:color="auto" w:fill="FFFFFF"/>
        </w:rPr>
        <w:t>Modelling</w:t>
      </w:r>
      <w:bookmarkEnd w:id="1"/>
    </w:p>
    <w:p w:rsidR="00BC4580" w:rsidRDefault="00BC4580" w:rsidP="00BC4580">
      <w:pPr>
        <w:rPr>
          <w:szCs w:val="22"/>
          <w:lang w:val="en-IE"/>
        </w:rPr>
      </w:pPr>
      <w:r>
        <w:rPr>
          <w:szCs w:val="22"/>
          <w:lang w:val="en-IE"/>
        </w:rPr>
        <w:t>Along with modelling the hydraulic processes of a pipe network</w:t>
      </w:r>
      <w:r w:rsidR="00D22CE2">
        <w:rPr>
          <w:szCs w:val="22"/>
          <w:lang w:val="en-IE"/>
        </w:rPr>
        <w:t xml:space="preserve"> (as used previously by </w:t>
      </w:r>
      <w:hyperlink w:anchor="_ENREF_16" w:tooltip="Gill, 2013 #412" w:history="1">
        <w:r w:rsidR="006B35EC">
          <w:rPr>
            <w:szCs w:val="22"/>
            <w:lang w:val="en-IE"/>
          </w:rPr>
          <w:fldChar w:fldCharType="begin"/>
        </w:r>
        <w:r w:rsidR="006B35EC">
          <w:rPr>
            <w:szCs w:val="22"/>
            <w:lang w:val="en-IE"/>
          </w:rPr>
          <w:instrText xml:space="preserve"> ADDIN EN.CITE &lt;EndNote&gt;&lt;Cite AuthorYear="1"&gt;&lt;Author&gt;Gill&lt;/Author&gt;&lt;Year&gt;2013&lt;/Year&gt;&lt;RecNum&gt;412&lt;/RecNum&gt;&lt;DisplayText&gt;Gill et al. (2013a)&lt;/DisplayText&gt;&lt;record&gt;&lt;rec-number&gt;412&lt;/rec-number&gt;&lt;foreign-keys&gt;&lt;key app="EN" db-id="dswvr2vdivtsvfepswzvft9gtsxe5zxfaavp" timestamp="1369822045"&gt;412&lt;/key&gt;&lt;/foreign-keys&gt;&lt;ref-type name="Journal Article"&gt;17&lt;/ref-type&gt;&lt;contributors&gt;&lt;authors&gt;&lt;author&gt;Gill, L.W.&lt;/author&gt;&lt;author&gt;Naughton, O.&lt;/author&gt;&lt;author&gt;Johnston, P.&lt;/author&gt;&lt;/authors&gt;&lt;/contributors&gt;&lt;titles&gt;&lt;title&gt;Modelling a network of turloughs in lowland karst&lt;/title&gt;&lt;secondary-title&gt;Water Resources Research&lt;/secondary-title&gt;&lt;/titles&gt;&lt;periodical&gt;&lt;full-title&gt;Water Resources Research&lt;/full-title&gt;&lt;/periodical&gt;&lt;pages&gt;3487-3503&lt;/pages&gt;&lt;volume&gt;49&lt;/volume&gt;&lt;number&gt;6&lt;/number&gt;&lt;dates&gt;&lt;year&gt;2013&lt;/year&gt;&lt;/dates&gt;&lt;urls&gt;&lt;/urls&gt;&lt;/record&gt;&lt;/Cite&gt;&lt;/EndNote&gt;</w:instrText>
        </w:r>
        <w:r w:rsidR="006B35EC">
          <w:rPr>
            <w:szCs w:val="22"/>
            <w:lang w:val="en-IE"/>
          </w:rPr>
          <w:fldChar w:fldCharType="separate"/>
        </w:r>
        <w:r w:rsidR="006B35EC">
          <w:rPr>
            <w:noProof/>
            <w:szCs w:val="22"/>
            <w:lang w:val="en-IE"/>
          </w:rPr>
          <w:t>Gill et al. (2013a)</w:t>
        </w:r>
        <w:r w:rsidR="006B35EC">
          <w:rPr>
            <w:szCs w:val="22"/>
            <w:lang w:val="en-IE"/>
          </w:rPr>
          <w:fldChar w:fldCharType="end"/>
        </w:r>
      </w:hyperlink>
      <w:r w:rsidR="00DE102F">
        <w:rPr>
          <w:szCs w:val="22"/>
          <w:lang w:val="en-IE"/>
        </w:rPr>
        <w:t xml:space="preserve">) </w:t>
      </w:r>
      <w:r w:rsidR="00D22CE2">
        <w:rPr>
          <w:szCs w:val="22"/>
          <w:lang w:val="en-IE"/>
        </w:rPr>
        <w:t xml:space="preserve"> to model this karst system</w:t>
      </w:r>
      <w:r>
        <w:rPr>
          <w:szCs w:val="22"/>
          <w:lang w:val="en-IE"/>
        </w:rPr>
        <w:t>, Infoworks</w:t>
      </w:r>
      <w:r>
        <w:rPr>
          <w:i/>
          <w:szCs w:val="22"/>
          <w:lang w:val="en-IE"/>
        </w:rPr>
        <w:t xml:space="preserve"> </w:t>
      </w:r>
      <w:r>
        <w:rPr>
          <w:szCs w:val="22"/>
          <w:lang w:val="en-IE"/>
        </w:rPr>
        <w:t>CS also incorporates a water quality model to simulate the movement of sediment and pollutants through a drainage system during a rainfall event. This water quality model was used in order to evaluate the nutrient transport processes within the Gort Lowlands which effectively occurs in parallel with the hydraulic modelling calculations; the output from the hydraulic model being used to calculate the associated output from the water quality model at each time</w:t>
      </w:r>
      <w:r w:rsidR="009F7E67">
        <w:rPr>
          <w:szCs w:val="22"/>
          <w:lang w:val="en-IE"/>
        </w:rPr>
        <w:t>-</w:t>
      </w:r>
      <w:r>
        <w:rPr>
          <w:szCs w:val="22"/>
          <w:lang w:val="en-IE"/>
        </w:rPr>
        <w:t>step. Each hydrochemical species can be modelled as being entirely dissolved or partially attached to sediment with the pollutants being treated as fully conservative. No interaction between pollutants and their environment was simulated, nor between one pollutant and another. The water quality model for the tr</w:t>
      </w:r>
      <w:r w:rsidR="0034381F">
        <w:rPr>
          <w:szCs w:val="22"/>
          <w:lang w:val="en-IE"/>
        </w:rPr>
        <w:t xml:space="preserve">ansport of dissolved nutrients </w:t>
      </w:r>
      <w:r>
        <w:rPr>
          <w:szCs w:val="22"/>
          <w:lang w:val="en-IE"/>
        </w:rPr>
        <w:t xml:space="preserve">carried out its calculations in two stages for each </w:t>
      </w:r>
      <w:proofErr w:type="spellStart"/>
      <w:r>
        <w:rPr>
          <w:szCs w:val="22"/>
          <w:lang w:val="en-IE"/>
        </w:rPr>
        <w:t>timestep</w:t>
      </w:r>
      <w:proofErr w:type="spellEnd"/>
      <w:r>
        <w:rPr>
          <w:szCs w:val="22"/>
          <w:lang w:val="en-IE"/>
        </w:rPr>
        <w:t>.</w:t>
      </w:r>
    </w:p>
    <w:p w:rsidR="00DC214C" w:rsidRPr="009158ED" w:rsidRDefault="00DC214C" w:rsidP="00DC214C">
      <w:pPr>
        <w:rPr>
          <w:szCs w:val="22"/>
          <w:lang w:val="en-IE"/>
        </w:rPr>
      </w:pPr>
    </w:p>
    <w:p w:rsidR="00BC4580" w:rsidRDefault="00BC4580" w:rsidP="00BC4580">
      <w:pPr>
        <w:pStyle w:val="ListParagraph"/>
        <w:numPr>
          <w:ilvl w:val="0"/>
          <w:numId w:val="39"/>
        </w:numPr>
        <w:spacing w:line="360" w:lineRule="auto"/>
      </w:pPr>
      <w:r>
        <w:t xml:space="preserve">The </w:t>
      </w:r>
      <w:r>
        <w:rPr>
          <w:i/>
        </w:rPr>
        <w:t>Network Model</w:t>
      </w:r>
      <w:r>
        <w:t xml:space="preserve"> calculates the concentration of dissolved pollutants at all nodes using the following conservation of mass equation: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1715"/>
      </w:tblGrid>
      <w:tr w:rsidR="00DC214C" w:rsidRPr="009158ED" w:rsidTr="002E7504">
        <w:tc>
          <w:tcPr>
            <w:tcW w:w="7338" w:type="dxa"/>
            <w:vAlign w:val="center"/>
          </w:tcPr>
          <w:p w:rsidR="00DC214C" w:rsidRPr="009158ED" w:rsidRDefault="0091304E" w:rsidP="002E7504">
            <w:pPr>
              <w:jc w:val="left"/>
              <w:rPr>
                <w:szCs w:val="22"/>
                <w:lang w:val="en-IE"/>
              </w:rPr>
            </w:pPr>
            <m:oMathPara>
              <m:oMathParaPr>
                <m:jc m:val="center"/>
              </m:oMathParaPr>
              <m:oMath>
                <m:f>
                  <m:fPr>
                    <m:ctrlPr>
                      <w:rPr>
                        <w:rFonts w:ascii="Cambria Math" w:hAnsi="Cambria Math"/>
                        <w:i/>
                        <w:szCs w:val="22"/>
                        <w:lang w:val="en-IE"/>
                      </w:rPr>
                    </m:ctrlPr>
                  </m:fPr>
                  <m:num>
                    <m:r>
                      <w:rPr>
                        <w:rFonts w:ascii="Cambria Math" w:hAnsi="Cambria Math"/>
                        <w:szCs w:val="22"/>
                        <w:lang w:val="en-IE"/>
                      </w:rPr>
                      <m:t>d</m:t>
                    </m:r>
                    <m:sSub>
                      <m:sSubPr>
                        <m:ctrlPr>
                          <w:rPr>
                            <w:rFonts w:ascii="Cambria Math" w:hAnsi="Cambria Math"/>
                            <w:i/>
                            <w:szCs w:val="22"/>
                            <w:lang w:val="en-IE"/>
                          </w:rPr>
                        </m:ctrlPr>
                      </m:sSubPr>
                      <m:e>
                        <m:r>
                          <w:rPr>
                            <w:rFonts w:ascii="Cambria Math" w:hAnsi="Cambria Math"/>
                            <w:szCs w:val="22"/>
                            <w:lang w:val="en-IE"/>
                          </w:rPr>
                          <m:t>M</m:t>
                        </m:r>
                      </m:e>
                      <m:sub>
                        <m:r>
                          <w:rPr>
                            <w:rFonts w:ascii="Cambria Math" w:hAnsi="Cambria Math"/>
                            <w:szCs w:val="22"/>
                            <w:lang w:val="en-IE"/>
                          </w:rPr>
                          <m:t>J</m:t>
                        </m:r>
                      </m:sub>
                    </m:sSub>
                  </m:num>
                  <m:den>
                    <m:r>
                      <w:rPr>
                        <w:rFonts w:ascii="Cambria Math" w:hAnsi="Cambria Math"/>
                        <w:szCs w:val="22"/>
                        <w:lang w:val="en-IE"/>
                      </w:rPr>
                      <m:t>dt</m:t>
                    </m:r>
                  </m:den>
                </m:f>
                <m:r>
                  <w:rPr>
                    <w:rFonts w:ascii="Cambria Math" w:hAnsi="Cambria Math"/>
                    <w:szCs w:val="22"/>
                    <w:lang w:val="en-IE"/>
                  </w:rPr>
                  <m:t>=</m:t>
                </m:r>
                <m:nary>
                  <m:naryPr>
                    <m:chr m:val="∑"/>
                    <m:limLoc m:val="undOvr"/>
                    <m:supHide m:val="1"/>
                    <m:ctrlPr>
                      <w:rPr>
                        <w:rFonts w:ascii="Cambria Math" w:hAnsi="Cambria Math"/>
                        <w:i/>
                        <w:szCs w:val="22"/>
                        <w:lang w:val="en-IE"/>
                      </w:rPr>
                    </m:ctrlPr>
                  </m:naryPr>
                  <m:sub>
                    <m:r>
                      <w:rPr>
                        <w:rFonts w:ascii="Cambria Math" w:hAnsi="Cambria Math"/>
                        <w:szCs w:val="22"/>
                        <w:lang w:val="en-IE"/>
                      </w:rPr>
                      <m:t>i</m:t>
                    </m:r>
                  </m:sub>
                  <m:sup/>
                  <m:e>
                    <m:sSub>
                      <m:sSubPr>
                        <m:ctrlPr>
                          <w:rPr>
                            <w:rFonts w:ascii="Cambria Math" w:hAnsi="Cambria Math"/>
                            <w:i/>
                            <w:szCs w:val="22"/>
                            <w:lang w:val="en-IE"/>
                          </w:rPr>
                        </m:ctrlPr>
                      </m:sSubPr>
                      <m:e>
                        <m:r>
                          <w:rPr>
                            <w:rFonts w:ascii="Cambria Math" w:hAnsi="Cambria Math"/>
                            <w:szCs w:val="22"/>
                            <w:lang w:val="en-IE"/>
                          </w:rPr>
                          <m:t>Q</m:t>
                        </m:r>
                      </m:e>
                      <m:sub>
                        <m:r>
                          <w:rPr>
                            <w:rFonts w:ascii="Cambria Math" w:hAnsi="Cambria Math"/>
                            <w:szCs w:val="22"/>
                            <w:lang w:val="en-IE"/>
                          </w:rPr>
                          <m:t>i</m:t>
                        </m:r>
                      </m:sub>
                    </m:sSub>
                    <m:sSub>
                      <m:sSubPr>
                        <m:ctrlPr>
                          <w:rPr>
                            <w:rFonts w:ascii="Cambria Math" w:hAnsi="Cambria Math"/>
                            <w:i/>
                            <w:szCs w:val="22"/>
                            <w:lang w:val="en-IE"/>
                          </w:rPr>
                        </m:ctrlPr>
                      </m:sSubPr>
                      <m:e>
                        <m:r>
                          <w:rPr>
                            <w:rFonts w:ascii="Cambria Math" w:hAnsi="Cambria Math"/>
                            <w:szCs w:val="22"/>
                            <w:lang w:val="en-IE"/>
                          </w:rPr>
                          <m:t>C</m:t>
                        </m:r>
                      </m:e>
                      <m:sub>
                        <m:r>
                          <w:rPr>
                            <w:rFonts w:ascii="Cambria Math" w:hAnsi="Cambria Math"/>
                            <w:szCs w:val="22"/>
                            <w:lang w:val="en-IE"/>
                          </w:rPr>
                          <m:t>i</m:t>
                        </m:r>
                      </m:sub>
                    </m:sSub>
                    <m:r>
                      <w:rPr>
                        <w:rFonts w:ascii="Cambria Math" w:hAnsi="Cambria Math"/>
                        <w:szCs w:val="22"/>
                        <w:lang w:val="en-IE"/>
                      </w:rPr>
                      <m:t xml:space="preserve">+ </m:t>
                    </m:r>
                    <m:f>
                      <m:fPr>
                        <m:ctrlPr>
                          <w:rPr>
                            <w:rFonts w:ascii="Cambria Math" w:hAnsi="Cambria Math"/>
                            <w:i/>
                            <w:szCs w:val="22"/>
                            <w:lang w:val="en-IE"/>
                          </w:rPr>
                        </m:ctrlPr>
                      </m:fPr>
                      <m:num>
                        <m:r>
                          <w:rPr>
                            <w:rFonts w:ascii="Cambria Math" w:hAnsi="Cambria Math"/>
                            <w:szCs w:val="22"/>
                            <w:lang w:val="en-IE"/>
                          </w:rPr>
                          <m:t>d</m:t>
                        </m:r>
                        <m:sSub>
                          <m:sSubPr>
                            <m:ctrlPr>
                              <w:rPr>
                                <w:rFonts w:ascii="Cambria Math" w:hAnsi="Cambria Math"/>
                                <w:i/>
                                <w:szCs w:val="22"/>
                                <w:lang w:val="en-IE"/>
                              </w:rPr>
                            </m:ctrlPr>
                          </m:sSubPr>
                          <m:e>
                            <m:r>
                              <w:rPr>
                                <w:rFonts w:ascii="Cambria Math" w:hAnsi="Cambria Math"/>
                                <w:szCs w:val="22"/>
                                <w:lang w:val="en-IE"/>
                              </w:rPr>
                              <m:t>M</m:t>
                            </m:r>
                          </m:e>
                          <m:sub>
                            <m:r>
                              <w:rPr>
                                <w:rFonts w:ascii="Cambria Math" w:hAnsi="Cambria Math"/>
                                <w:szCs w:val="22"/>
                                <w:lang w:val="en-IE"/>
                              </w:rPr>
                              <m:t>sJ</m:t>
                            </m:r>
                          </m:sub>
                        </m:sSub>
                      </m:num>
                      <m:den>
                        <m:r>
                          <w:rPr>
                            <w:rFonts w:ascii="Cambria Math" w:hAnsi="Cambria Math"/>
                            <w:szCs w:val="22"/>
                            <w:lang w:val="en-IE"/>
                          </w:rPr>
                          <m:t>dt</m:t>
                        </m:r>
                      </m:den>
                    </m:f>
                  </m:e>
                </m:nary>
                <m:r>
                  <w:rPr>
                    <w:rFonts w:ascii="Cambria Math" w:hAnsi="Cambria Math"/>
                    <w:szCs w:val="22"/>
                    <w:lang w:val="en-IE"/>
                  </w:rPr>
                  <m:t xml:space="preserve">- </m:t>
                </m:r>
                <m:nary>
                  <m:naryPr>
                    <m:chr m:val="∑"/>
                    <m:limLoc m:val="undOvr"/>
                    <m:supHide m:val="1"/>
                    <m:ctrlPr>
                      <w:rPr>
                        <w:rFonts w:ascii="Cambria Math" w:hAnsi="Cambria Math"/>
                        <w:i/>
                        <w:szCs w:val="22"/>
                        <w:lang w:val="en-IE"/>
                      </w:rPr>
                    </m:ctrlPr>
                  </m:naryPr>
                  <m:sub>
                    <m:r>
                      <w:rPr>
                        <w:rFonts w:ascii="Cambria Math" w:hAnsi="Cambria Math"/>
                        <w:szCs w:val="22"/>
                        <w:lang w:val="en-IE"/>
                      </w:rPr>
                      <m:t>o</m:t>
                    </m:r>
                  </m:sub>
                  <m:sup/>
                  <m:e>
                    <m:sSub>
                      <m:sSubPr>
                        <m:ctrlPr>
                          <w:rPr>
                            <w:rFonts w:ascii="Cambria Math" w:hAnsi="Cambria Math"/>
                            <w:i/>
                            <w:szCs w:val="22"/>
                            <w:lang w:val="en-IE"/>
                          </w:rPr>
                        </m:ctrlPr>
                      </m:sSubPr>
                      <m:e>
                        <m:r>
                          <w:rPr>
                            <w:rFonts w:ascii="Cambria Math" w:hAnsi="Cambria Math"/>
                            <w:szCs w:val="22"/>
                            <w:lang w:val="en-IE"/>
                          </w:rPr>
                          <m:t>Q</m:t>
                        </m:r>
                      </m:e>
                      <m:sub>
                        <m:r>
                          <w:rPr>
                            <w:rFonts w:ascii="Cambria Math" w:hAnsi="Cambria Math"/>
                            <w:szCs w:val="22"/>
                            <w:lang w:val="en-IE"/>
                          </w:rPr>
                          <m:t>o</m:t>
                        </m:r>
                      </m:sub>
                    </m:sSub>
                    <m:sSub>
                      <m:sSubPr>
                        <m:ctrlPr>
                          <w:rPr>
                            <w:rFonts w:ascii="Cambria Math" w:hAnsi="Cambria Math"/>
                            <w:i/>
                            <w:szCs w:val="22"/>
                            <w:lang w:val="en-IE"/>
                          </w:rPr>
                        </m:ctrlPr>
                      </m:sSubPr>
                      <m:e>
                        <m:r>
                          <w:rPr>
                            <w:rFonts w:ascii="Cambria Math" w:hAnsi="Cambria Math"/>
                            <w:szCs w:val="22"/>
                            <w:lang w:val="en-IE"/>
                          </w:rPr>
                          <m:t>C</m:t>
                        </m:r>
                      </m:e>
                      <m:sub>
                        <m:r>
                          <w:rPr>
                            <w:rFonts w:ascii="Cambria Math" w:hAnsi="Cambria Math"/>
                            <w:szCs w:val="22"/>
                            <w:lang w:val="en-IE"/>
                          </w:rPr>
                          <m:t>o</m:t>
                        </m:r>
                      </m:sub>
                    </m:sSub>
                  </m:e>
                </m:nary>
              </m:oMath>
            </m:oMathPara>
          </w:p>
        </w:tc>
        <w:tc>
          <w:tcPr>
            <w:tcW w:w="1715" w:type="dxa"/>
            <w:vAlign w:val="center"/>
          </w:tcPr>
          <w:p w:rsidR="00DC214C" w:rsidRPr="003770AA" w:rsidRDefault="003770AA" w:rsidP="00002BD9">
            <w:pPr>
              <w:jc w:val="right"/>
              <w:rPr>
                <w:szCs w:val="22"/>
                <w:lang w:val="en-IE"/>
              </w:rPr>
            </w:pPr>
            <w:r w:rsidRPr="003770AA">
              <w:rPr>
                <w:szCs w:val="22"/>
                <w:lang w:val="en-IE"/>
              </w:rPr>
              <w:t>(</w:t>
            </w:r>
            <w:r w:rsidR="00002BD9" w:rsidRPr="003770AA">
              <w:rPr>
                <w:szCs w:val="22"/>
                <w:lang w:val="en-IE"/>
              </w:rPr>
              <w:t>1</w:t>
            </w:r>
            <w:r w:rsidRPr="003770AA">
              <w:rPr>
                <w:szCs w:val="22"/>
                <w:lang w:val="en-IE"/>
              </w:rPr>
              <w:t>)</w:t>
            </w:r>
          </w:p>
        </w:tc>
      </w:tr>
    </w:tbl>
    <w:p w:rsidR="00DC214C" w:rsidRPr="009158ED" w:rsidRDefault="00DC214C" w:rsidP="00DC214C">
      <w:pPr>
        <w:rPr>
          <w:szCs w:val="22"/>
          <w:lang w:val="en-IE"/>
        </w:rPr>
      </w:pPr>
      <w:r w:rsidRPr="009158ED">
        <w:rPr>
          <w:szCs w:val="22"/>
          <w:lang w:val="en-IE"/>
        </w:rPr>
        <w:tab/>
        <w:t xml:space="preserve"> </w:t>
      </w:r>
    </w:p>
    <w:p w:rsidR="00DC214C" w:rsidRPr="009158ED" w:rsidRDefault="00DC214C" w:rsidP="00DC214C">
      <w:pPr>
        <w:pStyle w:val="ListParagraph"/>
        <w:spacing w:line="360" w:lineRule="auto"/>
      </w:pPr>
      <w:proofErr w:type="gramStart"/>
      <w:r w:rsidRPr="009158ED">
        <w:t>where</w:t>
      </w:r>
      <w:proofErr w:type="gramEnd"/>
      <w:r w:rsidRPr="009158ED">
        <w:t>:</w:t>
      </w:r>
      <w:r w:rsidRPr="009158ED">
        <w:tab/>
        <w:t xml:space="preserve">   M</w:t>
      </w:r>
      <w:r w:rsidRPr="009158ED">
        <w:rPr>
          <w:vertAlign w:val="subscript"/>
        </w:rPr>
        <w:t>J</w:t>
      </w:r>
      <w:r w:rsidRPr="009158ED">
        <w:t xml:space="preserve">  </w:t>
      </w:r>
      <w:r w:rsidRPr="009158ED">
        <w:tab/>
        <w:t xml:space="preserve">= </w:t>
      </w:r>
      <w:r w:rsidR="00BC4580">
        <w:t>Mass of dissolved pollutant in node J (kg)</w:t>
      </w:r>
    </w:p>
    <w:p w:rsidR="00DC214C" w:rsidRPr="009158ED" w:rsidRDefault="00DC214C" w:rsidP="00DC214C">
      <w:pPr>
        <w:pStyle w:val="ListParagraph"/>
        <w:spacing w:line="360" w:lineRule="auto"/>
      </w:pPr>
      <w:r w:rsidRPr="009158ED">
        <w:tab/>
        <w:t xml:space="preserve">   Q</w:t>
      </w:r>
      <w:r w:rsidRPr="009158ED">
        <w:rPr>
          <w:vertAlign w:val="subscript"/>
        </w:rPr>
        <w:t>i</w:t>
      </w:r>
      <w:r w:rsidRPr="009158ED">
        <w:t xml:space="preserve">   </w:t>
      </w:r>
      <w:r w:rsidRPr="009158ED">
        <w:tab/>
        <w:t xml:space="preserve">= </w:t>
      </w:r>
      <w:r w:rsidR="001342F4">
        <w:t>F</w:t>
      </w:r>
      <w:r w:rsidRPr="009158ED">
        <w:t xml:space="preserve">low into node J from link </w:t>
      </w:r>
      <w:proofErr w:type="spellStart"/>
      <w:r w:rsidRPr="009158ED">
        <w:t>i</w:t>
      </w:r>
      <w:proofErr w:type="spellEnd"/>
      <w:r w:rsidRPr="009158ED">
        <w:t xml:space="preserve"> (m</w:t>
      </w:r>
      <w:r w:rsidRPr="009158ED">
        <w:rPr>
          <w:vertAlign w:val="superscript"/>
        </w:rPr>
        <w:t>3</w:t>
      </w:r>
      <w:r w:rsidRPr="009158ED">
        <w:t>/s)</w:t>
      </w:r>
    </w:p>
    <w:p w:rsidR="00DC214C" w:rsidRPr="009158ED" w:rsidRDefault="00DC214C" w:rsidP="00DC214C">
      <w:pPr>
        <w:pStyle w:val="ListParagraph"/>
        <w:spacing w:line="360" w:lineRule="auto"/>
      </w:pPr>
      <w:r w:rsidRPr="009158ED">
        <w:tab/>
        <w:t xml:space="preserve">   C</w:t>
      </w:r>
      <w:r w:rsidRPr="009158ED">
        <w:rPr>
          <w:vertAlign w:val="subscript"/>
        </w:rPr>
        <w:t>i</w:t>
      </w:r>
      <w:r w:rsidRPr="009158ED">
        <w:t xml:space="preserve">   </w:t>
      </w:r>
      <w:r w:rsidRPr="009158ED">
        <w:tab/>
        <w:t xml:space="preserve">= </w:t>
      </w:r>
      <w:r w:rsidR="001342F4">
        <w:t>C</w:t>
      </w:r>
      <w:r w:rsidRPr="009158ED">
        <w:t xml:space="preserve">oncentration in the flow into node J from link </w:t>
      </w:r>
      <w:proofErr w:type="spellStart"/>
      <w:r w:rsidRPr="009158ED">
        <w:t>i</w:t>
      </w:r>
      <w:proofErr w:type="spellEnd"/>
      <w:r w:rsidRPr="009158ED">
        <w:t xml:space="preserve"> (kg/m</w:t>
      </w:r>
      <w:r w:rsidRPr="009158ED">
        <w:rPr>
          <w:vertAlign w:val="superscript"/>
        </w:rPr>
        <w:t>3</w:t>
      </w:r>
      <w:r w:rsidRPr="009158ED">
        <w:t>)</w:t>
      </w:r>
    </w:p>
    <w:p w:rsidR="00DC214C" w:rsidRPr="009158ED" w:rsidRDefault="00DC214C" w:rsidP="00DC214C">
      <w:pPr>
        <w:pStyle w:val="ListParagraph"/>
        <w:spacing w:line="360" w:lineRule="auto"/>
      </w:pPr>
      <w:r w:rsidRPr="009158ED">
        <w:tab/>
        <w:t xml:space="preserve">   </w:t>
      </w:r>
      <w:proofErr w:type="spellStart"/>
      <w:r w:rsidRPr="009158ED">
        <w:t>M</w:t>
      </w:r>
      <w:r w:rsidRPr="009158ED">
        <w:rPr>
          <w:vertAlign w:val="subscript"/>
        </w:rPr>
        <w:t>sJ</w:t>
      </w:r>
      <w:proofErr w:type="spellEnd"/>
      <w:r w:rsidRPr="009158ED">
        <w:rPr>
          <w:vertAlign w:val="subscript"/>
        </w:rPr>
        <w:t xml:space="preserve"> </w:t>
      </w:r>
      <w:r w:rsidRPr="009158ED">
        <w:tab/>
        <w:t xml:space="preserve">= </w:t>
      </w:r>
      <w:r w:rsidR="001342F4">
        <w:t>A</w:t>
      </w:r>
      <w:r w:rsidRPr="009158ED">
        <w:t>dditional mass entering node J from external sources (kg)</w:t>
      </w:r>
    </w:p>
    <w:p w:rsidR="00DC214C" w:rsidRPr="009158ED" w:rsidRDefault="00DC214C" w:rsidP="00DC214C">
      <w:pPr>
        <w:pStyle w:val="ListParagraph"/>
        <w:spacing w:line="360" w:lineRule="auto"/>
      </w:pPr>
      <w:r w:rsidRPr="009158ED">
        <w:tab/>
        <w:t xml:space="preserve">   </w:t>
      </w:r>
      <w:proofErr w:type="spellStart"/>
      <w:r w:rsidRPr="009158ED">
        <w:t>Q</w:t>
      </w:r>
      <w:r w:rsidRPr="009158ED">
        <w:rPr>
          <w:vertAlign w:val="subscript"/>
        </w:rPr>
        <w:t>o</w:t>
      </w:r>
      <w:proofErr w:type="spellEnd"/>
      <w:r w:rsidRPr="009158ED">
        <w:t xml:space="preserve"> </w:t>
      </w:r>
      <w:r w:rsidRPr="009158ED">
        <w:tab/>
        <w:t xml:space="preserve">= </w:t>
      </w:r>
      <w:r w:rsidR="001342F4">
        <w:t>Flow</w:t>
      </w:r>
      <w:r w:rsidRPr="009158ED">
        <w:t xml:space="preserve"> from node J to link o (m</w:t>
      </w:r>
      <w:r w:rsidRPr="009158ED">
        <w:rPr>
          <w:vertAlign w:val="superscript"/>
        </w:rPr>
        <w:t>3</w:t>
      </w:r>
      <w:r w:rsidRPr="009158ED">
        <w:t>/s)</w:t>
      </w:r>
    </w:p>
    <w:p w:rsidR="00DC214C" w:rsidRPr="009158ED" w:rsidRDefault="00DC214C" w:rsidP="00DC214C">
      <w:pPr>
        <w:pStyle w:val="ListParagraph"/>
        <w:spacing w:line="360" w:lineRule="auto"/>
      </w:pPr>
      <w:r w:rsidRPr="009158ED">
        <w:tab/>
        <w:t xml:space="preserve">   C</w:t>
      </w:r>
      <w:r w:rsidRPr="009158ED">
        <w:rPr>
          <w:vertAlign w:val="subscript"/>
        </w:rPr>
        <w:t>o</w:t>
      </w:r>
      <w:r w:rsidRPr="009158ED">
        <w:t xml:space="preserve"> </w:t>
      </w:r>
      <w:r w:rsidRPr="009158ED">
        <w:tab/>
        <w:t xml:space="preserve">= </w:t>
      </w:r>
      <w:r w:rsidR="001342F4">
        <w:t>C</w:t>
      </w:r>
      <w:r w:rsidRPr="009158ED">
        <w:t>oncentration in the flow from node J to link o (kg/m</w:t>
      </w:r>
      <w:r w:rsidRPr="009158ED">
        <w:rPr>
          <w:vertAlign w:val="superscript"/>
        </w:rPr>
        <w:t>3</w:t>
      </w:r>
      <w:r w:rsidRPr="009158ED">
        <w:t>)</w:t>
      </w:r>
      <w:r w:rsidR="00FD0F69">
        <w:t>.</w:t>
      </w:r>
    </w:p>
    <w:p w:rsidR="00DC214C" w:rsidRPr="009158ED" w:rsidRDefault="00DC214C" w:rsidP="00DC214C">
      <w:pPr>
        <w:rPr>
          <w:szCs w:val="22"/>
          <w:lang w:val="en-IE"/>
        </w:rPr>
      </w:pPr>
    </w:p>
    <w:p w:rsidR="00BC4580" w:rsidRDefault="00BC4580" w:rsidP="00BC4580">
      <w:pPr>
        <w:pStyle w:val="ListParagraph"/>
        <w:numPr>
          <w:ilvl w:val="0"/>
          <w:numId w:val="39"/>
        </w:numPr>
        <w:spacing w:line="360" w:lineRule="auto"/>
      </w:pPr>
      <w:r>
        <w:t xml:space="preserve">The </w:t>
      </w:r>
      <w:r>
        <w:rPr>
          <w:i/>
        </w:rPr>
        <w:t>Conduit Model</w:t>
      </w:r>
      <w:r>
        <w:t xml:space="preserve"> calculates the concentration of dissolved pollutants along each conduit (represented as a conceptual link of defined length between two nodes in the network).  The governing equation describing the transport of dissolved pollutant (based on the conservation of mass) is the following: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1715"/>
      </w:tblGrid>
      <w:tr w:rsidR="00DC214C" w:rsidRPr="009158ED" w:rsidTr="002E7504">
        <w:tc>
          <w:tcPr>
            <w:tcW w:w="7338" w:type="dxa"/>
            <w:vAlign w:val="center"/>
          </w:tcPr>
          <w:p w:rsidR="00DC214C" w:rsidRPr="009158ED" w:rsidRDefault="0091304E" w:rsidP="002E7504">
            <w:pPr>
              <w:jc w:val="left"/>
              <w:rPr>
                <w:szCs w:val="22"/>
                <w:lang w:val="en-IE"/>
              </w:rPr>
            </w:pPr>
            <m:oMathPara>
              <m:oMathParaPr>
                <m:jc m:val="center"/>
              </m:oMathParaPr>
              <m:oMath>
                <m:f>
                  <m:fPr>
                    <m:ctrlPr>
                      <w:rPr>
                        <w:rFonts w:ascii="Cambria Math" w:hAnsi="Cambria Math"/>
                        <w:i/>
                        <w:szCs w:val="22"/>
                        <w:lang w:val="en-IE"/>
                      </w:rPr>
                    </m:ctrlPr>
                  </m:fPr>
                  <m:num>
                    <m:r>
                      <w:rPr>
                        <w:rFonts w:ascii="Cambria Math" w:hAnsi="Cambria Math"/>
                        <w:szCs w:val="22"/>
                        <w:lang w:val="en-IE"/>
                      </w:rPr>
                      <m:t>dC</m:t>
                    </m:r>
                  </m:num>
                  <m:den>
                    <m:r>
                      <w:rPr>
                        <w:rFonts w:ascii="Cambria Math" w:hAnsi="Cambria Math"/>
                        <w:szCs w:val="22"/>
                        <w:lang w:val="en-IE"/>
                      </w:rPr>
                      <m:t>dt</m:t>
                    </m:r>
                  </m:den>
                </m:f>
                <m:r>
                  <w:rPr>
                    <w:rFonts w:ascii="Cambria Math" w:hAnsi="Cambria Math"/>
                    <w:szCs w:val="22"/>
                    <w:lang w:val="en-IE"/>
                  </w:rPr>
                  <m:t>+u</m:t>
                </m:r>
                <m:f>
                  <m:fPr>
                    <m:ctrlPr>
                      <w:rPr>
                        <w:rFonts w:ascii="Cambria Math" w:hAnsi="Cambria Math"/>
                        <w:i/>
                        <w:szCs w:val="22"/>
                        <w:lang w:val="en-IE"/>
                      </w:rPr>
                    </m:ctrlPr>
                  </m:fPr>
                  <m:num>
                    <m:r>
                      <w:rPr>
                        <w:rFonts w:ascii="Cambria Math" w:hAnsi="Cambria Math"/>
                        <w:szCs w:val="22"/>
                        <w:lang w:val="en-IE"/>
                      </w:rPr>
                      <m:t>dC</m:t>
                    </m:r>
                  </m:num>
                  <m:den>
                    <m:r>
                      <w:rPr>
                        <w:rFonts w:ascii="Cambria Math" w:hAnsi="Cambria Math"/>
                        <w:szCs w:val="22"/>
                        <w:lang w:val="en-IE"/>
                      </w:rPr>
                      <m:t>dx</m:t>
                    </m:r>
                  </m:den>
                </m:f>
                <m:r>
                  <w:rPr>
                    <w:rFonts w:ascii="Cambria Math" w:hAnsi="Cambria Math"/>
                    <w:szCs w:val="22"/>
                    <w:lang w:val="en-IE"/>
                  </w:rPr>
                  <m:t>=0</m:t>
                </m:r>
              </m:oMath>
            </m:oMathPara>
          </w:p>
        </w:tc>
        <w:tc>
          <w:tcPr>
            <w:tcW w:w="1715" w:type="dxa"/>
            <w:vAlign w:val="center"/>
          </w:tcPr>
          <w:p w:rsidR="00DC214C" w:rsidRPr="003770AA" w:rsidRDefault="003770AA" w:rsidP="00002BD9">
            <w:pPr>
              <w:jc w:val="right"/>
              <w:rPr>
                <w:szCs w:val="22"/>
                <w:lang w:val="en-IE"/>
              </w:rPr>
            </w:pPr>
            <w:r w:rsidRPr="003770AA">
              <w:rPr>
                <w:szCs w:val="22"/>
                <w:lang w:val="en-IE"/>
              </w:rPr>
              <w:t>(</w:t>
            </w:r>
            <w:r w:rsidR="00002BD9" w:rsidRPr="003770AA">
              <w:rPr>
                <w:szCs w:val="22"/>
                <w:lang w:val="en-IE"/>
              </w:rPr>
              <w:t>2</w:t>
            </w:r>
            <w:r w:rsidRPr="003770AA">
              <w:rPr>
                <w:szCs w:val="22"/>
                <w:lang w:val="en-IE"/>
              </w:rPr>
              <w:t>)</w:t>
            </w:r>
          </w:p>
        </w:tc>
      </w:tr>
    </w:tbl>
    <w:p w:rsidR="00DC214C" w:rsidRPr="009158ED" w:rsidRDefault="00DC214C" w:rsidP="00DC214C">
      <w:pPr>
        <w:pStyle w:val="ListParagraph"/>
        <w:spacing w:line="360" w:lineRule="auto"/>
      </w:pPr>
    </w:p>
    <w:p w:rsidR="00DC214C" w:rsidRPr="009158ED" w:rsidRDefault="00DC214C" w:rsidP="00DC214C">
      <w:pPr>
        <w:pStyle w:val="ListParagraph"/>
        <w:spacing w:line="360" w:lineRule="auto"/>
      </w:pPr>
      <w:proofErr w:type="gramStart"/>
      <w:r w:rsidRPr="009158ED">
        <w:t>where</w:t>
      </w:r>
      <w:proofErr w:type="gramEnd"/>
      <w:r w:rsidRPr="009158ED">
        <w:t xml:space="preserve">:  </w:t>
      </w:r>
      <w:r w:rsidRPr="009158ED">
        <w:tab/>
        <w:t xml:space="preserve">   </w:t>
      </w:r>
      <w:r w:rsidR="00FE6A45" w:rsidRPr="007D2368">
        <w:rPr>
          <w:highlight w:val="cyan"/>
        </w:rPr>
        <w:t>C</w:t>
      </w:r>
      <w:r w:rsidRPr="009158ED">
        <w:tab/>
        <w:t>= Concentration (kg/m</w:t>
      </w:r>
      <w:r w:rsidRPr="009158ED">
        <w:rPr>
          <w:vertAlign w:val="superscript"/>
        </w:rPr>
        <w:t>3</w:t>
      </w:r>
      <w:r w:rsidRPr="009158ED">
        <w:t>)</w:t>
      </w:r>
    </w:p>
    <w:p w:rsidR="00DC214C" w:rsidRPr="009158ED" w:rsidRDefault="00DC214C" w:rsidP="00DC214C">
      <w:pPr>
        <w:pStyle w:val="ListParagraph"/>
        <w:spacing w:line="360" w:lineRule="auto"/>
      </w:pPr>
      <w:r w:rsidRPr="009158ED">
        <w:tab/>
        <w:t xml:space="preserve">   u</w:t>
      </w:r>
      <w:r w:rsidRPr="009158ED">
        <w:tab/>
        <w:t>= Flow velocity (m/s)</w:t>
      </w:r>
    </w:p>
    <w:p w:rsidR="00DC214C" w:rsidRPr="009158ED" w:rsidRDefault="00DC214C" w:rsidP="00DC214C">
      <w:pPr>
        <w:pStyle w:val="ListParagraph"/>
        <w:spacing w:line="360" w:lineRule="auto"/>
      </w:pPr>
      <w:r w:rsidRPr="009158ED">
        <w:tab/>
        <w:t xml:space="preserve">   t </w:t>
      </w:r>
      <w:r w:rsidRPr="009158ED">
        <w:tab/>
        <w:t>= Time (s)</w:t>
      </w:r>
    </w:p>
    <w:p w:rsidR="008C4B15" w:rsidRDefault="00DC214C" w:rsidP="00BE70CB">
      <w:pPr>
        <w:pStyle w:val="ListParagraph"/>
        <w:spacing w:line="360" w:lineRule="auto"/>
      </w:pPr>
      <w:r w:rsidRPr="009158ED">
        <w:tab/>
        <w:t xml:space="preserve">   x </w:t>
      </w:r>
      <w:r w:rsidRPr="009158ED">
        <w:tab/>
        <w:t xml:space="preserve">= </w:t>
      </w:r>
      <w:proofErr w:type="gramStart"/>
      <w:r w:rsidRPr="009158ED">
        <w:t>The</w:t>
      </w:r>
      <w:proofErr w:type="gramEnd"/>
      <w:r w:rsidRPr="009158ED">
        <w:t xml:space="preserve"> spatial co-ordinate (m)</w:t>
      </w:r>
      <w:r w:rsidR="00FD0F69">
        <w:t>.</w:t>
      </w:r>
    </w:p>
    <w:p w:rsidR="00496F71" w:rsidRPr="008C4B15" w:rsidRDefault="00496F71" w:rsidP="00BE70CB">
      <w:pPr>
        <w:pStyle w:val="ListParagraph"/>
        <w:spacing w:line="360" w:lineRule="auto"/>
      </w:pPr>
    </w:p>
    <w:p w:rsidR="003D44C8" w:rsidRDefault="003D44C8" w:rsidP="00B1478C">
      <w:pPr>
        <w:pStyle w:val="Heading1"/>
        <w:rPr>
          <w:shd w:val="clear" w:color="auto" w:fill="FFFFFF"/>
        </w:rPr>
      </w:pPr>
      <w:r w:rsidRPr="00171520">
        <w:rPr>
          <w:shd w:val="clear" w:color="auto" w:fill="FFFFFF"/>
        </w:rPr>
        <w:t>Results</w:t>
      </w:r>
    </w:p>
    <w:p w:rsidR="002E7504" w:rsidRDefault="002E7504" w:rsidP="009158ED">
      <w:r w:rsidRPr="00983B59">
        <w:rPr>
          <w:szCs w:val="22"/>
        </w:rPr>
        <w:t>The results of alkalinity, total nitrogen, nitrate (NO</w:t>
      </w:r>
      <w:r w:rsidRPr="00983B59">
        <w:rPr>
          <w:szCs w:val="22"/>
          <w:vertAlign w:val="subscript"/>
        </w:rPr>
        <w:t>3</w:t>
      </w:r>
      <w:r w:rsidR="000F5531">
        <w:rPr>
          <w:szCs w:val="22"/>
        </w:rPr>
        <w:t>), total phosphor</w:t>
      </w:r>
      <w:r w:rsidRPr="00983B59">
        <w:rPr>
          <w:szCs w:val="22"/>
        </w:rPr>
        <w:t xml:space="preserve">us and total dissolved phosphorus are presented in </w:t>
      </w:r>
      <w:r w:rsidR="009B0497" w:rsidRPr="00983B59">
        <w:rPr>
          <w:szCs w:val="22"/>
        </w:rPr>
        <w:fldChar w:fldCharType="begin"/>
      </w:r>
      <w:r w:rsidR="009B0497" w:rsidRPr="00983B59">
        <w:rPr>
          <w:szCs w:val="22"/>
        </w:rPr>
        <w:instrText xml:space="preserve"> REF _Ref385523476 \h </w:instrText>
      </w:r>
      <w:r w:rsidR="00983B59" w:rsidRPr="00983B59">
        <w:rPr>
          <w:szCs w:val="22"/>
        </w:rPr>
        <w:instrText xml:space="preserve"> \* MERGEFORMAT </w:instrText>
      </w:r>
      <w:r w:rsidR="009B0497" w:rsidRPr="00983B59">
        <w:rPr>
          <w:szCs w:val="22"/>
        </w:rPr>
      </w:r>
      <w:r w:rsidR="009B0497" w:rsidRPr="00983B59">
        <w:rPr>
          <w:szCs w:val="22"/>
        </w:rPr>
        <w:fldChar w:fldCharType="separate"/>
      </w:r>
      <w:r w:rsidR="00E40475" w:rsidRPr="00E40475">
        <w:rPr>
          <w:szCs w:val="22"/>
        </w:rPr>
        <w:t xml:space="preserve">Table </w:t>
      </w:r>
      <w:r w:rsidR="00E40475" w:rsidRPr="00E40475">
        <w:rPr>
          <w:noProof/>
          <w:szCs w:val="22"/>
        </w:rPr>
        <w:t>1</w:t>
      </w:r>
      <w:r w:rsidR="009B0497" w:rsidRPr="00983B59">
        <w:rPr>
          <w:szCs w:val="22"/>
        </w:rPr>
        <w:fldChar w:fldCharType="end"/>
      </w:r>
      <w:r w:rsidR="006E4204">
        <w:rPr>
          <w:szCs w:val="22"/>
        </w:rPr>
        <w:t>.</w:t>
      </w:r>
      <w:r w:rsidR="00251BAA">
        <w:rPr>
          <w:szCs w:val="22"/>
        </w:rPr>
        <w:t xml:space="preserve"> </w:t>
      </w:r>
    </w:p>
    <w:p w:rsidR="008C4B15" w:rsidRDefault="008C4B15" w:rsidP="009158ED"/>
    <w:p w:rsidR="008C4B15" w:rsidRPr="00926153" w:rsidRDefault="008C4B15" w:rsidP="009158ED">
      <w:pPr>
        <w:rPr>
          <w:szCs w:val="22"/>
        </w:rPr>
      </w:pPr>
    </w:p>
    <w:p w:rsidR="00B06757" w:rsidRDefault="00B06757" w:rsidP="00B06757">
      <w:pPr>
        <w:pStyle w:val="Heading2"/>
      </w:pPr>
      <w:r>
        <w:lastRenderedPageBreak/>
        <w:t>Alkalinity</w:t>
      </w:r>
    </w:p>
    <w:p w:rsidR="004579F1" w:rsidRDefault="004579F1" w:rsidP="004579F1">
      <w:pPr>
        <w:rPr>
          <w:sz w:val="20"/>
          <w:szCs w:val="22"/>
        </w:rPr>
      </w:pPr>
      <w:r w:rsidRPr="00A704EF">
        <w:rPr>
          <w:szCs w:val="22"/>
          <w:lang w:val="en-IE"/>
        </w:rPr>
        <w:t xml:space="preserve">In the Gort Lowlands, alkalinity is particularly beneficial </w:t>
      </w:r>
      <w:r w:rsidR="006974E8" w:rsidRPr="00A704EF">
        <w:rPr>
          <w:szCs w:val="22"/>
          <w:lang w:val="en-IE"/>
        </w:rPr>
        <w:t xml:space="preserve">as an indicator of recharge origin </w:t>
      </w:r>
      <w:r w:rsidRPr="00A704EF">
        <w:rPr>
          <w:szCs w:val="22"/>
          <w:lang w:val="en-IE"/>
        </w:rPr>
        <w:t>due to the substantial input of under-saturated allogenic recharge. Exploiting the distinct contrast between the low alkalinity</w:t>
      </w:r>
      <w:r w:rsidR="00FC2401" w:rsidRPr="00A704EF">
        <w:rPr>
          <w:szCs w:val="22"/>
          <w:lang w:val="en-IE"/>
        </w:rPr>
        <w:t xml:space="preserve"> allogenic</w:t>
      </w:r>
      <w:r w:rsidRPr="00A704EF">
        <w:rPr>
          <w:szCs w:val="22"/>
          <w:lang w:val="en-IE"/>
        </w:rPr>
        <w:t xml:space="preserve"> recharge </w:t>
      </w:r>
      <w:r>
        <w:rPr>
          <w:szCs w:val="22"/>
          <w:lang w:val="en-IE"/>
        </w:rPr>
        <w:t xml:space="preserve">and the saturated, </w:t>
      </w:r>
      <w:r w:rsidR="00FC2401">
        <w:rPr>
          <w:szCs w:val="22"/>
          <w:lang w:val="en-IE"/>
        </w:rPr>
        <w:t>high alkalinity autogenic</w:t>
      </w:r>
      <w:r>
        <w:rPr>
          <w:szCs w:val="22"/>
          <w:lang w:val="en-IE"/>
        </w:rPr>
        <w:t xml:space="preserve"> recharge, insights can be made into the likely source of water within the catchment.</w:t>
      </w:r>
    </w:p>
    <w:p w:rsidR="009544C3" w:rsidRPr="009544C3" w:rsidRDefault="009544C3" w:rsidP="009544C3"/>
    <w:p w:rsidR="00E6166A" w:rsidRDefault="00A704EF" w:rsidP="004F4121">
      <w:pPr>
        <w:pStyle w:val="Heading3"/>
      </w:pPr>
      <w:bookmarkStart w:id="2" w:name="_Ref402793092"/>
      <w:r>
        <w:t>Surface-water</w:t>
      </w:r>
      <w:bookmarkEnd w:id="2"/>
    </w:p>
    <w:p w:rsidR="00562741" w:rsidRDefault="00562741" w:rsidP="004F4121">
      <w:r>
        <w:t xml:space="preserve">Alkalinity concentrations within the turloughs were found to be quite variable. The predominant process controlling a </w:t>
      </w:r>
      <w:proofErr w:type="spellStart"/>
      <w:r>
        <w:t>turlough</w:t>
      </w:r>
      <w:r w:rsidR="00FD0F69">
        <w:t>’</w:t>
      </w:r>
      <w:r>
        <w:t>s</w:t>
      </w:r>
      <w:proofErr w:type="spellEnd"/>
      <w:r>
        <w:t xml:space="preserve"> alkalinity is its hydrological functioning and the influx of water (from conduit or diffuse sources). Other processes that are likely to alter a </w:t>
      </w:r>
      <w:proofErr w:type="spellStart"/>
      <w:r>
        <w:t>turlough’s</w:t>
      </w:r>
      <w:proofErr w:type="spellEnd"/>
      <w:r>
        <w:t xml:space="preserve"> </w:t>
      </w:r>
      <w:r w:rsidRPr="00EE3411">
        <w:rPr>
          <w:szCs w:val="22"/>
          <w:lang w:val="en-IE"/>
        </w:rPr>
        <w:t>CaCO</w:t>
      </w:r>
      <w:r w:rsidRPr="00EE3411">
        <w:rPr>
          <w:szCs w:val="22"/>
          <w:vertAlign w:val="subscript"/>
          <w:lang w:val="en-IE"/>
        </w:rPr>
        <w:t>3</w:t>
      </w:r>
      <w:r w:rsidRPr="00EE3411">
        <w:rPr>
          <w:szCs w:val="22"/>
          <w:lang w:val="en-IE"/>
        </w:rPr>
        <w:t xml:space="preserve"> concentration</w:t>
      </w:r>
      <w:r w:rsidR="00D139A8">
        <w:rPr>
          <w:szCs w:val="22"/>
          <w:lang w:val="en-IE"/>
        </w:rPr>
        <w:t>, although to a lesser degree,</w:t>
      </w:r>
      <w:r>
        <w:rPr>
          <w:szCs w:val="22"/>
          <w:lang w:val="en-IE"/>
        </w:rPr>
        <w:t xml:space="preserve"> include carbonate precipitation and dissolution.  </w:t>
      </w:r>
    </w:p>
    <w:p w:rsidR="00CF04AD" w:rsidRDefault="00CF04AD" w:rsidP="00790ED9">
      <w:pPr>
        <w:pStyle w:val="Caption"/>
        <w:jc w:val="both"/>
        <w:rPr>
          <w:sz w:val="22"/>
        </w:rPr>
      </w:pPr>
    </w:p>
    <w:p w:rsidR="004579F1" w:rsidRDefault="004579F1" w:rsidP="004579F1">
      <w:pPr>
        <w:rPr>
          <w:color w:val="FF0000"/>
          <w:lang w:val="en-IE"/>
        </w:rPr>
      </w:pPr>
      <w:r>
        <w:rPr>
          <w:lang w:val="en-IE"/>
        </w:rPr>
        <w:t>Blackrock and Coy turloughs had mean alkalinities of 138.4 and 150.3 mg/l CaCO</w:t>
      </w:r>
      <w:r>
        <w:rPr>
          <w:vertAlign w:val="subscript"/>
          <w:lang w:val="en-IE"/>
        </w:rPr>
        <w:t>3</w:t>
      </w:r>
      <w:r>
        <w:rPr>
          <w:lang w:val="en-IE"/>
        </w:rPr>
        <w:t xml:space="preserve"> respectively. These concentrations reflect the alkalinity of their primary source of water, </w:t>
      </w:r>
      <w:r w:rsidR="00816944">
        <w:rPr>
          <w:lang w:val="en-IE"/>
        </w:rPr>
        <w:t>SA1,</w:t>
      </w:r>
      <w:r>
        <w:rPr>
          <w:lang w:val="en-IE"/>
        </w:rPr>
        <w:t xml:space="preserve"> which had a mean alkalinity of 148.1 mg/l CaCO</w:t>
      </w:r>
      <w:r>
        <w:rPr>
          <w:vertAlign w:val="subscript"/>
          <w:lang w:val="en-IE"/>
        </w:rPr>
        <w:t>3</w:t>
      </w:r>
      <w:r>
        <w:rPr>
          <w:lang w:val="en-IE"/>
        </w:rPr>
        <w:t>. The alkalinities of Coole, Garryland and Caherglassaun turloughs were slightly lower (114.4, 134.6 and 121.3 mg/l CaCO</w:t>
      </w:r>
      <w:r>
        <w:rPr>
          <w:vertAlign w:val="subscript"/>
          <w:lang w:val="en-IE"/>
        </w:rPr>
        <w:t>3</w:t>
      </w:r>
      <w:r>
        <w:rPr>
          <w:lang w:val="en-IE"/>
        </w:rPr>
        <w:t>) reflecting the low</w:t>
      </w:r>
      <w:r w:rsidR="006974E8">
        <w:rPr>
          <w:lang w:val="en-IE"/>
        </w:rPr>
        <w:t>er</w:t>
      </w:r>
      <w:r>
        <w:rPr>
          <w:lang w:val="en-IE"/>
        </w:rPr>
        <w:t xml:space="preserve"> concentration</w:t>
      </w:r>
      <w:r w:rsidR="006974E8">
        <w:rPr>
          <w:lang w:val="en-IE"/>
        </w:rPr>
        <w:t xml:space="preserve"> contributions</w:t>
      </w:r>
      <w:r>
        <w:rPr>
          <w:lang w:val="en-IE"/>
        </w:rPr>
        <w:t xml:space="preserve"> of </w:t>
      </w:r>
      <w:r w:rsidR="00816944">
        <w:rPr>
          <w:lang w:val="en-IE"/>
        </w:rPr>
        <w:t>SA2</w:t>
      </w:r>
      <w:r>
        <w:rPr>
          <w:lang w:val="en-IE"/>
        </w:rPr>
        <w:t xml:space="preserve"> (68.2 mg/l CaCO</w:t>
      </w:r>
      <w:r w:rsidRPr="004579F1">
        <w:rPr>
          <w:vertAlign w:val="subscript"/>
          <w:lang w:val="en-IE"/>
        </w:rPr>
        <w:t>3</w:t>
      </w:r>
      <w:r>
        <w:rPr>
          <w:lang w:val="en-IE"/>
        </w:rPr>
        <w:t xml:space="preserve">) and </w:t>
      </w:r>
      <w:r w:rsidR="00816944">
        <w:rPr>
          <w:lang w:val="en-IE"/>
        </w:rPr>
        <w:t>SA3</w:t>
      </w:r>
      <w:r>
        <w:rPr>
          <w:lang w:val="en-IE"/>
        </w:rPr>
        <w:t xml:space="preserve"> (38.8 mg/l CaCO</w:t>
      </w:r>
      <w:r w:rsidRPr="004579F1">
        <w:rPr>
          <w:vertAlign w:val="subscript"/>
          <w:lang w:val="en-IE"/>
        </w:rPr>
        <w:t>3</w:t>
      </w:r>
      <w:r>
        <w:rPr>
          <w:lang w:val="en-IE"/>
        </w:rPr>
        <w:t xml:space="preserve">) rivers. However, these turloughs have noticeably higher concentrations than would be expected from a weighted mean alkalinity based on the percentage flow contribution from the three rivers </w:t>
      </w:r>
      <w:r w:rsidR="002A2361">
        <w:rPr>
          <w:lang w:val="en-IE"/>
        </w:rPr>
        <w:t>(</w:t>
      </w:r>
      <w:r>
        <w:rPr>
          <w:lang w:val="en-IE"/>
        </w:rPr>
        <w:t>71 mg/l CaCO</w:t>
      </w:r>
      <w:r w:rsidRPr="004579F1">
        <w:rPr>
          <w:vertAlign w:val="subscript"/>
          <w:lang w:val="en-IE"/>
        </w:rPr>
        <w:t>3</w:t>
      </w:r>
      <w:r w:rsidR="002A2361">
        <w:rPr>
          <w:lang w:val="en-IE"/>
        </w:rPr>
        <w:t>)</w:t>
      </w:r>
      <w:r>
        <w:rPr>
          <w:lang w:val="en-IE"/>
        </w:rPr>
        <w:t xml:space="preserve">. </w:t>
      </w:r>
      <w:r w:rsidRPr="00486483">
        <w:rPr>
          <w:lang w:val="en-IE"/>
        </w:rPr>
        <w:t>Their increased alkalinity</w:t>
      </w:r>
      <w:r w:rsidR="00D22CE2" w:rsidRPr="00486483">
        <w:rPr>
          <w:lang w:val="en-IE"/>
        </w:rPr>
        <w:t>,</w:t>
      </w:r>
      <w:r w:rsidRPr="00486483">
        <w:rPr>
          <w:lang w:val="en-IE"/>
        </w:rPr>
        <w:t xml:space="preserve"> relative to what would be expected from the river inputs</w:t>
      </w:r>
      <w:r w:rsidR="00D22CE2" w:rsidRPr="00486483">
        <w:rPr>
          <w:lang w:val="en-IE"/>
        </w:rPr>
        <w:t>,</w:t>
      </w:r>
      <w:r w:rsidRPr="00486483">
        <w:rPr>
          <w:lang w:val="en-IE"/>
        </w:rPr>
        <w:t xml:space="preserve"> can be attributed to three factors. Firstly, these turloughs receive </w:t>
      </w:r>
      <w:r w:rsidR="00D22CE2" w:rsidRPr="00486483">
        <w:rPr>
          <w:lang w:val="en-IE"/>
        </w:rPr>
        <w:t xml:space="preserve">a minor </w:t>
      </w:r>
      <w:r w:rsidRPr="00486483">
        <w:rPr>
          <w:lang w:val="en-IE"/>
        </w:rPr>
        <w:t xml:space="preserve">influx of water from the more alkaline Cloonteen </w:t>
      </w:r>
      <w:r w:rsidR="00E824EE">
        <w:rPr>
          <w:lang w:val="en-IE"/>
        </w:rPr>
        <w:t xml:space="preserve">River </w:t>
      </w:r>
      <w:r w:rsidRPr="00486483">
        <w:rPr>
          <w:lang w:val="en-IE"/>
        </w:rPr>
        <w:t xml:space="preserve">catchment to the south of the Gort Lowlands (see </w:t>
      </w:r>
      <w:r w:rsidRPr="00486483">
        <w:rPr>
          <w:lang w:val="en-IE"/>
        </w:rPr>
        <w:fldChar w:fldCharType="begin"/>
      </w:r>
      <w:r w:rsidRPr="00486483">
        <w:rPr>
          <w:lang w:val="en-IE"/>
        </w:rPr>
        <w:instrText xml:space="preserve"> REF _Ref385497073 \h  \* MERGEFORMAT </w:instrText>
      </w:r>
      <w:r w:rsidRPr="00486483">
        <w:rPr>
          <w:lang w:val="en-IE"/>
        </w:rPr>
      </w:r>
      <w:r w:rsidRPr="00486483">
        <w:rPr>
          <w:lang w:val="en-IE"/>
        </w:rPr>
        <w:fldChar w:fldCharType="separate"/>
      </w:r>
      <w:r w:rsidR="00E40475" w:rsidRPr="00E40475">
        <w:rPr>
          <w:lang w:val="en-IE"/>
        </w:rPr>
        <w:t>Figure 1</w:t>
      </w:r>
      <w:r w:rsidRPr="00486483">
        <w:rPr>
          <w:lang w:val="en-IE"/>
        </w:rPr>
        <w:fldChar w:fldCharType="end"/>
      </w:r>
      <w:r w:rsidRPr="00486483">
        <w:rPr>
          <w:lang w:val="en-IE"/>
        </w:rPr>
        <w:t xml:space="preserve">) resulting in higher concentrations, most significantly at Garryland turlough (similar to the findings of the Gort Flood Studies, </w:t>
      </w:r>
      <w:hyperlink w:anchor="_ENREF_38" w:tooltip="Southern Water Global, 1998 #258" w:history="1">
        <w:r w:rsidR="006B35EC" w:rsidRPr="00486483">
          <w:fldChar w:fldCharType="begin"/>
        </w:r>
        <w:r w:rsidR="006B35EC" w:rsidRPr="00486483">
          <w:instrText xml:space="preserve"> ADDIN EN.CITE &lt;EndNote&gt;&lt;Cite AuthorYear="1"&gt;&lt;Author&gt;Southern Water Global&lt;/Author&gt;&lt;Year&gt;1998&lt;/Year&gt;&lt;RecNum&gt;258&lt;/RecNum&gt;&lt;DisplayText&gt;Southern Water Global (1998)&lt;/DisplayText&gt;&lt;record&gt;&lt;rec-number&gt;258&lt;/rec-number&gt;&lt;foreign-keys&gt;&lt;key app="EN" db-id="dswvr2vdivtsvfepswzvft9gtsxe5zxfaavp" timestamp="1350834457"&gt;258&lt;/key&gt;&lt;/foreign-keys&gt;&lt;ref-type name="Journal Article"&gt;17&lt;/ref-type&gt;&lt;contributors&gt;&lt;authors&gt;&lt;author&gt;Southern Water Global,&lt;/author&gt;&lt;/authors&gt;&lt;/contributors&gt;&lt;titles&gt;&lt;title&gt;An investigation of the flooding problems in the Gort-Ardrahan area of South Galway.  Final Report, April 1998.  Produced by Southern Water Global and Jennings O`Donovan and Partners for the Office of Public Works, Dublin&lt;/title&gt;&lt;/titles&gt;&lt;keywords&gt;&lt;keyword&gt;Hydrology&lt;/keyword&gt;&lt;/keywords&gt;&lt;dates&gt;&lt;year&gt;1998&lt;/year&gt;&lt;/dates&gt;&lt;urls&gt;&lt;/urls&gt;&lt;/record&gt;&lt;/Cite&gt;&lt;/EndNote&gt;</w:instrText>
        </w:r>
        <w:r w:rsidR="006B35EC" w:rsidRPr="00486483">
          <w:fldChar w:fldCharType="separate"/>
        </w:r>
        <w:r w:rsidR="006B35EC" w:rsidRPr="00486483">
          <w:t>Southern Water Global (1998)</w:t>
        </w:r>
        <w:r w:rsidR="006B35EC" w:rsidRPr="00486483">
          <w:fldChar w:fldCharType="end"/>
        </w:r>
      </w:hyperlink>
      <w:r w:rsidRPr="00486483">
        <w:rPr>
          <w:lang w:val="en-IE"/>
        </w:rPr>
        <w:t xml:space="preserve">). Secondly, as </w:t>
      </w:r>
      <w:r w:rsidR="00816944">
        <w:rPr>
          <w:lang w:val="en-IE"/>
        </w:rPr>
        <w:t>SA2</w:t>
      </w:r>
      <w:r w:rsidR="00784E54" w:rsidRPr="00486483">
        <w:rPr>
          <w:lang w:val="en-IE"/>
        </w:rPr>
        <w:t xml:space="preserve"> and </w:t>
      </w:r>
      <w:r w:rsidR="00816944">
        <w:rPr>
          <w:lang w:val="en-IE"/>
        </w:rPr>
        <w:t>SA3</w:t>
      </w:r>
      <w:r w:rsidR="00784E54" w:rsidRPr="00486483">
        <w:rPr>
          <w:lang w:val="en-IE"/>
        </w:rPr>
        <w:t xml:space="preserve"> </w:t>
      </w:r>
      <w:r w:rsidR="00816944">
        <w:rPr>
          <w:lang w:val="en-IE"/>
        </w:rPr>
        <w:t>r</w:t>
      </w:r>
      <w:r w:rsidRPr="00486483">
        <w:rPr>
          <w:lang w:val="en-IE"/>
        </w:rPr>
        <w:t>ivers enter the limestone system under</w:t>
      </w:r>
      <w:r w:rsidR="002A2361" w:rsidRPr="00486483">
        <w:rPr>
          <w:lang w:val="en-IE"/>
        </w:rPr>
        <w:t>-</w:t>
      </w:r>
      <w:r w:rsidRPr="00486483">
        <w:rPr>
          <w:lang w:val="en-IE"/>
        </w:rPr>
        <w:t xml:space="preserve">saturated in dissolved </w:t>
      </w:r>
      <w:r w:rsidR="002A2361" w:rsidRPr="00486483">
        <w:rPr>
          <w:lang w:val="en-IE"/>
        </w:rPr>
        <w:t>CaCO</w:t>
      </w:r>
      <w:r w:rsidR="002A2361" w:rsidRPr="00486483">
        <w:rPr>
          <w:vertAlign w:val="subscript"/>
          <w:lang w:val="en-IE"/>
        </w:rPr>
        <w:t>3</w:t>
      </w:r>
      <w:r w:rsidR="00D22CE2" w:rsidRPr="00486483">
        <w:rPr>
          <w:vertAlign w:val="subscript"/>
          <w:lang w:val="en-IE"/>
        </w:rPr>
        <w:t xml:space="preserve"> </w:t>
      </w:r>
      <w:r w:rsidRPr="00486483">
        <w:rPr>
          <w:lang w:val="en-IE"/>
        </w:rPr>
        <w:t xml:space="preserve">their water is chemically </w:t>
      </w:r>
      <w:r w:rsidR="00DD252D" w:rsidRPr="00DD252D">
        <w:rPr>
          <w:highlight w:val="yellow"/>
          <w:lang w:val="en-IE"/>
        </w:rPr>
        <w:t>corrosive</w:t>
      </w:r>
      <w:r w:rsidRPr="00486483">
        <w:rPr>
          <w:lang w:val="en-IE"/>
        </w:rPr>
        <w:t xml:space="preserve"> and has a high dissolution potential. </w:t>
      </w:r>
      <w:r w:rsidR="002A2361" w:rsidRPr="00486483">
        <w:rPr>
          <w:lang w:val="en-IE"/>
        </w:rPr>
        <w:t>This</w:t>
      </w:r>
      <w:r w:rsidRPr="00486483">
        <w:rPr>
          <w:lang w:val="en-IE"/>
        </w:rPr>
        <w:t xml:space="preserve"> is likely to cause considerable solution of the limestone bedrock as they flow towards Coole. Thirdly, as the river/conduit water moves through the catchment towards the lower three turloughs, it is being diluted by the addition of high-alkal</w:t>
      </w:r>
      <w:r w:rsidR="00474DF4" w:rsidRPr="00486483">
        <w:rPr>
          <w:lang w:val="en-IE"/>
        </w:rPr>
        <w:t>inity recharge from the diffuse</w:t>
      </w:r>
      <w:r w:rsidRPr="00486483">
        <w:rPr>
          <w:lang w:val="en-IE"/>
        </w:rPr>
        <w:t xml:space="preserve"> groundwater. </w:t>
      </w:r>
    </w:p>
    <w:p w:rsidR="00C55B5B" w:rsidRDefault="00C55B5B" w:rsidP="00EE3411">
      <w:pPr>
        <w:rPr>
          <w:szCs w:val="22"/>
          <w:lang w:val="en-IE"/>
        </w:rPr>
      </w:pPr>
    </w:p>
    <w:p w:rsidR="004579F1" w:rsidRDefault="004579F1" w:rsidP="004579F1">
      <w:pPr>
        <w:rPr>
          <w:szCs w:val="22"/>
          <w:lang w:val="en-IE"/>
        </w:rPr>
      </w:pPr>
      <w:r>
        <w:rPr>
          <w:lang w:val="en-IE"/>
        </w:rPr>
        <w:t xml:space="preserve">By comparing the hydrochemical behaviours of the turloughs to that of the rivers feeding them, an insight into their varying hydrological functioning can be gained. Coy, Garryland and Caherglassaun operate as surcharge </w:t>
      </w:r>
      <w:r>
        <w:rPr>
          <w:szCs w:val="22"/>
          <w:lang w:val="en-IE"/>
        </w:rPr>
        <w:t xml:space="preserve">tank turloughs fed via a single estavelle (with a degree of </w:t>
      </w:r>
      <w:r>
        <w:rPr>
          <w:szCs w:val="22"/>
          <w:lang w:val="en-IE"/>
        </w:rPr>
        <w:lastRenderedPageBreak/>
        <w:t xml:space="preserve">isolation from the main karst flows through the system). Their hydrochemistry suggests that the low-alkalinity water brought in from the initial flooding event remains within the turloughs and only slowly becomes enriched in bicarbonate over time, most likely due to gradual recharge from the surrounding epikarst, as shown in </w:t>
      </w:r>
      <w:r>
        <w:rPr>
          <w:szCs w:val="22"/>
          <w:lang w:val="en-IE"/>
        </w:rPr>
        <w:fldChar w:fldCharType="begin"/>
      </w:r>
      <w:r>
        <w:rPr>
          <w:szCs w:val="22"/>
          <w:lang w:val="en-IE"/>
        </w:rPr>
        <w:instrText xml:space="preserve"> REF _Ref386816228 \h  \* MERGEFORMAT </w:instrText>
      </w:r>
      <w:r>
        <w:rPr>
          <w:szCs w:val="22"/>
          <w:lang w:val="en-IE"/>
        </w:rPr>
      </w:r>
      <w:r>
        <w:rPr>
          <w:szCs w:val="22"/>
          <w:lang w:val="en-IE"/>
        </w:rPr>
        <w:fldChar w:fldCharType="separate"/>
      </w:r>
      <w:r w:rsidR="00E40475" w:rsidRPr="00E40475">
        <w:rPr>
          <w:szCs w:val="22"/>
        </w:rPr>
        <w:t xml:space="preserve">Figure </w:t>
      </w:r>
      <w:r w:rsidR="00E40475" w:rsidRPr="00E40475">
        <w:rPr>
          <w:noProof/>
          <w:szCs w:val="22"/>
        </w:rPr>
        <w:t>4</w:t>
      </w:r>
      <w:r>
        <w:rPr>
          <w:szCs w:val="22"/>
          <w:lang w:val="en-IE"/>
        </w:rPr>
        <w:fldChar w:fldCharType="end"/>
      </w:r>
      <w:r>
        <w:rPr>
          <w:szCs w:val="22"/>
          <w:lang w:val="en-IE"/>
        </w:rPr>
        <w:t xml:space="preserve">. Blackrock and Coole turloughs, on the other hand, are seen to be directly influenced by river concentrations, even during flooded periods, with dramatic reductions in alkalinity in response to a flooding event as shown in </w:t>
      </w:r>
      <w:r>
        <w:rPr>
          <w:szCs w:val="22"/>
          <w:lang w:val="en-IE"/>
        </w:rPr>
        <w:fldChar w:fldCharType="begin"/>
      </w:r>
      <w:r>
        <w:rPr>
          <w:szCs w:val="22"/>
          <w:lang w:val="en-IE"/>
        </w:rPr>
        <w:instrText xml:space="preserve"> REF _Ref386816228 \h  \* MERGEFORMAT </w:instrText>
      </w:r>
      <w:r>
        <w:rPr>
          <w:szCs w:val="22"/>
          <w:lang w:val="en-IE"/>
        </w:rPr>
      </w:r>
      <w:r>
        <w:rPr>
          <w:szCs w:val="22"/>
          <w:lang w:val="en-IE"/>
        </w:rPr>
        <w:fldChar w:fldCharType="separate"/>
      </w:r>
      <w:r w:rsidR="00E40475" w:rsidRPr="00E40475">
        <w:rPr>
          <w:szCs w:val="22"/>
        </w:rPr>
        <w:t xml:space="preserve">Figure </w:t>
      </w:r>
      <w:r w:rsidR="00E40475" w:rsidRPr="00E40475">
        <w:rPr>
          <w:noProof/>
          <w:szCs w:val="22"/>
        </w:rPr>
        <w:t>4</w:t>
      </w:r>
      <w:r>
        <w:rPr>
          <w:szCs w:val="22"/>
          <w:lang w:val="en-IE"/>
        </w:rPr>
        <w:fldChar w:fldCharType="end"/>
      </w:r>
      <w:r>
        <w:rPr>
          <w:szCs w:val="22"/>
          <w:lang w:val="en-IE"/>
        </w:rPr>
        <w:t xml:space="preserve">. This pattern suggests that these turloughs can receive a significant amount of new low-alkalinity water from their surface inputs while draining away the older higher alkalinity water through their estavelles; i.e. acting predominantly as </w:t>
      </w:r>
      <w:r>
        <w:rPr>
          <w:i/>
          <w:szCs w:val="22"/>
          <w:lang w:val="en-IE"/>
        </w:rPr>
        <w:t>river flow-through</w:t>
      </w:r>
      <w:r>
        <w:rPr>
          <w:szCs w:val="22"/>
          <w:lang w:val="en-IE"/>
        </w:rPr>
        <w:t xml:space="preserve"> systems, as opposed to the</w:t>
      </w:r>
      <w:r>
        <w:rPr>
          <w:i/>
          <w:szCs w:val="22"/>
          <w:lang w:val="en-IE"/>
        </w:rPr>
        <w:t xml:space="preserve"> diffuse flow-through</w:t>
      </w:r>
      <w:r>
        <w:rPr>
          <w:szCs w:val="22"/>
          <w:lang w:val="en-IE"/>
        </w:rPr>
        <w:t xml:space="preserve"> from the surrounding epikarst.</w:t>
      </w:r>
    </w:p>
    <w:p w:rsidR="000F4C42" w:rsidRDefault="000F4C42" w:rsidP="002F345C">
      <w:pPr>
        <w:rPr>
          <w:lang w:val="en-IE"/>
        </w:rPr>
      </w:pPr>
    </w:p>
    <w:p w:rsidR="002F345C" w:rsidRPr="004A4FFD" w:rsidRDefault="00EE4CE7" w:rsidP="002F345C">
      <w:pPr>
        <w:rPr>
          <w:szCs w:val="22"/>
          <w:lang w:val="en-IE"/>
        </w:rPr>
      </w:pPr>
      <w:r>
        <w:rPr>
          <w:lang w:val="en-IE"/>
        </w:rPr>
        <w:t>The</w:t>
      </w:r>
      <w:r w:rsidRPr="002F345C">
        <w:rPr>
          <w:lang w:val="en-IE"/>
        </w:rPr>
        <w:t xml:space="preserve"> trend of increasing alkalinity over the flooding season </w:t>
      </w:r>
      <w:r>
        <w:rPr>
          <w:lang w:val="en-IE"/>
        </w:rPr>
        <w:t xml:space="preserve">as seen in the surcharge tank systems </w:t>
      </w:r>
      <w:r w:rsidRPr="002F345C">
        <w:rPr>
          <w:lang w:val="en-IE"/>
        </w:rPr>
        <w:t xml:space="preserve">is unusual for turloughs. Typical </w:t>
      </w:r>
      <w:proofErr w:type="spellStart"/>
      <w:r w:rsidRPr="002F345C">
        <w:rPr>
          <w:lang w:val="en-IE"/>
        </w:rPr>
        <w:t>autogenically</w:t>
      </w:r>
      <w:proofErr w:type="spellEnd"/>
      <w:r w:rsidRPr="002F345C">
        <w:rPr>
          <w:lang w:val="en-IE"/>
        </w:rPr>
        <w:t xml:space="preserve"> recharged turloughs tend to have much higher alkalinity levels</w:t>
      </w:r>
      <w:r>
        <w:rPr>
          <w:lang w:val="en-IE"/>
        </w:rPr>
        <w:t>,</w:t>
      </w:r>
      <w:r w:rsidRPr="002F345C">
        <w:rPr>
          <w:lang w:val="en-IE"/>
        </w:rPr>
        <w:t xml:space="preserve"> due to the CaCO</w:t>
      </w:r>
      <w:r w:rsidRPr="002F345C">
        <w:rPr>
          <w:vertAlign w:val="subscript"/>
          <w:lang w:val="en-IE"/>
        </w:rPr>
        <w:t>3</w:t>
      </w:r>
      <w:r w:rsidRPr="002F345C">
        <w:rPr>
          <w:lang w:val="en-IE"/>
        </w:rPr>
        <w:t xml:space="preserve"> rich waters that feed them</w:t>
      </w:r>
      <w:r>
        <w:rPr>
          <w:lang w:val="en-IE"/>
        </w:rPr>
        <w:t>,</w:t>
      </w:r>
      <w:r w:rsidRPr="002F345C">
        <w:rPr>
          <w:lang w:val="en-IE"/>
        </w:rPr>
        <w:t xml:space="preserve"> </w:t>
      </w:r>
      <w:r>
        <w:rPr>
          <w:lang w:val="en-IE"/>
        </w:rPr>
        <w:t>which</w:t>
      </w:r>
      <w:r w:rsidRPr="002F345C">
        <w:rPr>
          <w:lang w:val="en-IE"/>
        </w:rPr>
        <w:t xml:space="preserve"> does not increase over time (as they are saturated) </w:t>
      </w:r>
      <w:r>
        <w:rPr>
          <w:lang w:val="en-IE"/>
        </w:rPr>
        <w:t>but</w:t>
      </w:r>
      <w:r w:rsidRPr="002F345C">
        <w:rPr>
          <w:lang w:val="en-IE"/>
        </w:rPr>
        <w:t xml:space="preserve"> tends to decrease (as observed by </w:t>
      </w:r>
      <w:hyperlink w:anchor="_ENREF_7" w:tooltip="Cunha Pereira, 2011 #444" w:history="1">
        <w:r w:rsidR="006B35EC" w:rsidRPr="002F345C">
          <w:rPr>
            <w:lang w:val="en-IE"/>
          </w:rPr>
          <w:fldChar w:fldCharType="begin"/>
        </w:r>
        <w:r w:rsidR="006B35EC">
          <w:rPr>
            <w:lang w:val="en-IE"/>
          </w:rPr>
          <w:instrText xml:space="preserve"> ADDIN EN.CITE &lt;EndNote&gt;&lt;Cite AuthorYear="1"&gt;&lt;Author&gt;Cunha Pereira&lt;/Author&gt;&lt;Year&gt;2011&lt;/Year&gt;&lt;RecNum&gt;444&lt;/RecNum&gt;&lt;DisplayText&gt;Cunha Pereira (2011)&lt;/DisplayText&gt;&lt;record&gt;&lt;rec-number&gt;444&lt;/rec-number&gt;&lt;foreign-keys&gt;&lt;key app="EN" db-id="dswvr2vdivtsvfepswzvft9gtsxe5zxfaavp" timestamp="1372780081"&gt;444&lt;/key&gt;&lt;/foreign-keys&gt;&lt;ref-type name="Thesis"&gt;32&lt;/ref-type&gt;&lt;contributors&gt;&lt;authors&gt;&lt;author&gt;Cunha Pereira, H.&lt;/author&gt;&lt;/authors&gt;&lt;/contributors&gt;&lt;titles&gt;&lt;title&gt;Hydrochemistry and Algal Communities of Turloughs (Karst Seasonal Lakes)&lt;/title&gt;&lt;secondary-title&gt;Centre for the Environment&lt;/secondary-title&gt;&lt;/titles&gt;&lt;dates&gt;&lt;year&gt;2011&lt;/year&gt;&lt;/dates&gt;&lt;publisher&gt;Trinity College Dublin&lt;/publisher&gt;&lt;work-type&gt;PhD&lt;/work-type&gt;&lt;urls&gt;&lt;/urls&gt;&lt;/record&gt;&lt;/Cite&gt;&lt;/EndNote&gt;</w:instrText>
        </w:r>
        <w:r w:rsidR="006B35EC" w:rsidRPr="002F345C">
          <w:rPr>
            <w:lang w:val="en-IE"/>
          </w:rPr>
          <w:fldChar w:fldCharType="separate"/>
        </w:r>
        <w:r w:rsidR="006B35EC" w:rsidRPr="002F345C">
          <w:rPr>
            <w:noProof/>
            <w:lang w:val="en-IE"/>
          </w:rPr>
          <w:t>Cunha Pereira (2011)</w:t>
        </w:r>
        <w:r w:rsidR="006B35EC" w:rsidRPr="002F345C">
          <w:rPr>
            <w:lang w:val="en-IE"/>
          </w:rPr>
          <w:fldChar w:fldCharType="end"/>
        </w:r>
      </w:hyperlink>
      <w:r w:rsidRPr="002F345C">
        <w:rPr>
          <w:lang w:val="en-IE"/>
        </w:rPr>
        <w:t xml:space="preserve">). </w:t>
      </w:r>
      <w:r>
        <w:rPr>
          <w:lang w:val="en-IE"/>
        </w:rPr>
        <w:t>Such</w:t>
      </w:r>
      <w:r w:rsidRPr="002F345C">
        <w:rPr>
          <w:lang w:val="en-IE"/>
        </w:rPr>
        <w:t xml:space="preserve"> losses in CaCO</w:t>
      </w:r>
      <w:r w:rsidRPr="002F345C">
        <w:rPr>
          <w:vertAlign w:val="subscript"/>
          <w:lang w:val="en-IE"/>
        </w:rPr>
        <w:t>3</w:t>
      </w:r>
      <w:r w:rsidRPr="002F345C">
        <w:rPr>
          <w:lang w:val="en-IE"/>
        </w:rPr>
        <w:t xml:space="preserve"> from turloughs </w:t>
      </w:r>
      <w:r>
        <w:rPr>
          <w:lang w:val="en-IE"/>
        </w:rPr>
        <w:t>have been attributed</w:t>
      </w:r>
      <w:r w:rsidRPr="002F345C">
        <w:rPr>
          <w:lang w:val="en-IE"/>
        </w:rPr>
        <w:t xml:space="preserve"> to the influx of water (saturated with CO</w:t>
      </w:r>
      <w:r w:rsidRPr="002F345C">
        <w:rPr>
          <w:vertAlign w:val="subscript"/>
          <w:lang w:val="en-IE"/>
        </w:rPr>
        <w:t>2</w:t>
      </w:r>
      <w:r>
        <w:rPr>
          <w:lang w:val="en-IE"/>
        </w:rPr>
        <w:t>)</w:t>
      </w:r>
      <w:r w:rsidRPr="002F345C">
        <w:rPr>
          <w:lang w:val="en-IE"/>
        </w:rPr>
        <w:t xml:space="preserve"> which comes into contact with the air and gradually loses its CO</w:t>
      </w:r>
      <w:r w:rsidRPr="002F345C">
        <w:rPr>
          <w:vertAlign w:val="subscript"/>
          <w:lang w:val="en-IE"/>
        </w:rPr>
        <w:t>2</w:t>
      </w:r>
      <w:r w:rsidRPr="002F345C">
        <w:rPr>
          <w:lang w:val="en-IE"/>
        </w:rPr>
        <w:t xml:space="preserve"> to the atmosphere, primarily from physiochemical processes but also possibly biogenic processes</w:t>
      </w:r>
      <w:r w:rsidR="00EB7E9D">
        <w:rPr>
          <w:lang w:val="en-IE"/>
        </w:rPr>
        <w:t xml:space="preserve"> </w:t>
      </w:r>
      <w:r w:rsidR="00EB7E9D">
        <w:rPr>
          <w:lang w:val="en-IE"/>
        </w:rPr>
        <w:fldChar w:fldCharType="begin"/>
      </w:r>
      <w:r w:rsidR="00EB7E9D">
        <w:rPr>
          <w:lang w:val="en-IE"/>
        </w:rPr>
        <w:instrText xml:space="preserve"> ADDIN EN.CITE &lt;EndNote&gt;&lt;Cite&gt;&lt;Author&gt;Coxon&lt;/Author&gt;&lt;Year&gt;1994a&lt;/Year&gt;&lt;RecNum&gt;122&lt;/RecNum&gt;&lt;DisplayText&gt;(Coxon, 1994)&lt;/DisplayText&gt;&lt;record&gt;&lt;rec-number&gt;122&lt;/rec-number&gt;&lt;foreign-keys&gt;&lt;key app="EN" db-id="dswvr2vdivtsvfepswzvft9gtsxe5zxfaavp" timestamp="1322568189"&gt;122&lt;/key&gt;&lt;/foreign-keys&gt;&lt;ref-type name="Journal Article"&gt;17&lt;/ref-type&gt;&lt;contributors&gt;&lt;authors&gt;&lt;author&gt;Coxon, C.E.&lt;/author&gt;&lt;/authors&gt;&lt;/contributors&gt;&lt;titles&gt;&lt;title&gt;Carbonate Deposition in Turloughs (Seasonal Lakes) on the Western Limestone Lowlands of Ireland.  I: Present day processes.&lt;/title&gt;&lt;secondary-title&gt;Irish Geography&lt;/secondary-title&gt;&lt;/titles&gt;&lt;periodical&gt;&lt;full-title&gt;Irish Geography&lt;/full-title&gt;&lt;/periodical&gt;&lt;pages&gt;14-27&lt;/pages&gt;&lt;volume&gt;27&lt;/volume&gt;&lt;number&gt;1&lt;/number&gt;&lt;dates&gt;&lt;year&gt;1994&lt;/year&gt;&lt;pub-dates&gt;&lt;date&gt;1994/01/01&lt;/date&gt;&lt;/pub-dates&gt;&lt;/dates&gt;&lt;publisher&gt;Routledge&lt;/publisher&gt;&lt;isbn&gt;0075-0778&lt;/isbn&gt;&lt;urls&gt;&lt;related-urls&gt;&lt;url&gt;http://dx.doi.org/10.1080/00750779409478695&lt;/url&gt;&lt;/related-urls&gt;&lt;/urls&gt;&lt;electronic-resource-num&gt;10.1080/00750779409478695&lt;/electronic-resource-num&gt;&lt;access-date&gt;2011/11/29&lt;/access-date&gt;&lt;/record&gt;&lt;/Cite&gt;&lt;/EndNote&gt;</w:instrText>
      </w:r>
      <w:r w:rsidR="00EB7E9D">
        <w:rPr>
          <w:lang w:val="en-IE"/>
        </w:rPr>
        <w:fldChar w:fldCharType="separate"/>
      </w:r>
      <w:r w:rsidR="00EB7E9D">
        <w:rPr>
          <w:noProof/>
          <w:lang w:val="en-IE"/>
        </w:rPr>
        <w:t>(</w:t>
      </w:r>
      <w:hyperlink w:anchor="_ENREF_4" w:tooltip="Coxon, 1994 #122" w:history="1">
        <w:r w:rsidR="006B35EC">
          <w:rPr>
            <w:noProof/>
            <w:lang w:val="en-IE"/>
          </w:rPr>
          <w:t>Coxon, 1994</w:t>
        </w:r>
      </w:hyperlink>
      <w:r w:rsidR="00EB7E9D">
        <w:rPr>
          <w:noProof/>
          <w:lang w:val="en-IE"/>
        </w:rPr>
        <w:t>)</w:t>
      </w:r>
      <w:r w:rsidR="00EB7E9D">
        <w:rPr>
          <w:lang w:val="en-IE"/>
        </w:rPr>
        <w:fldChar w:fldCharType="end"/>
      </w:r>
      <w:r w:rsidRPr="002F345C">
        <w:rPr>
          <w:lang w:val="en-IE"/>
        </w:rPr>
        <w:t>.</w:t>
      </w:r>
    </w:p>
    <w:p w:rsidR="00A446D1" w:rsidRDefault="00A446D1" w:rsidP="00EE3411">
      <w:pPr>
        <w:rPr>
          <w:szCs w:val="22"/>
        </w:rPr>
      </w:pPr>
    </w:p>
    <w:p w:rsidR="004F4121" w:rsidRDefault="008F707E" w:rsidP="008F707E">
      <w:pPr>
        <w:pStyle w:val="Heading3"/>
      </w:pPr>
      <w:r>
        <w:t>Groundwater</w:t>
      </w:r>
    </w:p>
    <w:p w:rsidR="004F3DE1" w:rsidRDefault="004579F1" w:rsidP="00E6166A">
      <w:pPr>
        <w:rPr>
          <w:szCs w:val="22"/>
          <w:lang w:val="en-IE"/>
        </w:rPr>
      </w:pPr>
      <w:r>
        <w:rPr>
          <w:szCs w:val="22"/>
        </w:rPr>
        <w:t xml:space="preserve">Groundwater alkalinity measured across the catchment generally varied between 300 and 400 </w:t>
      </w:r>
      <w:r>
        <w:rPr>
          <w:szCs w:val="22"/>
          <w:lang w:val="en-IE"/>
        </w:rPr>
        <w:t>mg/l CaCO</w:t>
      </w:r>
      <w:r>
        <w:rPr>
          <w:szCs w:val="22"/>
          <w:vertAlign w:val="subscript"/>
          <w:lang w:val="en-IE"/>
        </w:rPr>
        <w:t>3</w:t>
      </w:r>
      <w:r>
        <w:rPr>
          <w:szCs w:val="22"/>
          <w:lang w:val="en-IE"/>
        </w:rPr>
        <w:t xml:space="preserve"> but overall was found to be quite consistent (standard deviation of below 40</w:t>
      </w:r>
      <w:r w:rsidR="002A2361" w:rsidRPr="002A2361">
        <w:rPr>
          <w:szCs w:val="22"/>
          <w:lang w:val="en-IE"/>
        </w:rPr>
        <w:t xml:space="preserve"> </w:t>
      </w:r>
      <w:r w:rsidR="002A2361">
        <w:rPr>
          <w:szCs w:val="22"/>
          <w:lang w:val="en-IE"/>
        </w:rPr>
        <w:t>mg/l</w:t>
      </w:r>
      <w:r>
        <w:rPr>
          <w:szCs w:val="22"/>
          <w:lang w:val="en-IE"/>
        </w:rPr>
        <w:t xml:space="preserve"> for most boreholes) with a mean value of 365.1 mg/l CaCO</w:t>
      </w:r>
      <w:r>
        <w:rPr>
          <w:szCs w:val="22"/>
          <w:vertAlign w:val="subscript"/>
          <w:lang w:val="en-IE"/>
        </w:rPr>
        <w:t>3</w:t>
      </w:r>
      <w:r>
        <w:rPr>
          <w:szCs w:val="22"/>
          <w:lang w:val="en-IE"/>
        </w:rPr>
        <w:t>. The broad agreement and lack of variation between most groundwater samples indicates the presence of a large diffuse/epikarst type aquifer with low transmissivity which surrounds the active conduit networ</w:t>
      </w:r>
      <w:r w:rsidR="00A704EF">
        <w:rPr>
          <w:szCs w:val="22"/>
          <w:lang w:val="en-IE"/>
        </w:rPr>
        <w:t>k</w:t>
      </w:r>
      <w:r w:rsidR="00496F71">
        <w:rPr>
          <w:szCs w:val="22"/>
          <w:lang w:val="en-IE"/>
        </w:rPr>
        <w:t xml:space="preserve"> </w:t>
      </w:r>
      <w:r w:rsidR="00496F71">
        <w:rPr>
          <w:szCs w:val="22"/>
          <w:lang w:val="en-IE"/>
        </w:rPr>
        <w:fldChar w:fldCharType="begin"/>
      </w:r>
      <w:r w:rsidR="00496F71">
        <w:rPr>
          <w:szCs w:val="22"/>
          <w:lang w:val="en-IE"/>
        </w:rPr>
        <w:instrText xml:space="preserve"> ADDIN EN.CITE &lt;EndNote&gt;&lt;Cite&gt;&lt;Author&gt;McCormack&lt;/Author&gt;&lt;Year&gt;2014&lt;/Year&gt;&lt;RecNum&gt;590&lt;/RecNum&gt;&lt;DisplayText&gt;(McCormack et al., 2014)&lt;/DisplayText&gt;&lt;record&gt;&lt;rec-number&gt;590&lt;/rec-number&gt;&lt;foreign-keys&gt;&lt;key app="EN" db-id="dswvr2vdivtsvfepswzvft9gtsxe5zxfaavp" timestamp="1414572943"&gt;590&lt;/key&gt;&lt;/foreign-keys&gt;&lt;ref-type name="Journal Article"&gt;17&lt;/ref-type&gt;&lt;contributors&gt;&lt;authors&gt;&lt;author&gt;McCormack, T.&lt;/author&gt;&lt;author&gt;Gill, L. W.&lt;/author&gt;&lt;author&gt;Naughton, O.&lt;/author&gt;&lt;author&gt;Johnston, P. M.&lt;/author&gt;&lt;/authors&gt;&lt;/contributors&gt;&lt;titles&gt;&lt;title&gt;Quantification of submarine/intertidal groundwater discharge and nutrient loading from a lowland karst catchment&lt;/title&gt;&lt;secondary-title&gt;Journal of Hydrology&lt;/secondary-title&gt;&lt;/titles&gt;&lt;periodical&gt;&lt;full-title&gt;Journal of Hydrology&lt;/full-title&gt;&lt;/periodical&gt;&lt;pages&gt;2318-2330&lt;/pages&gt;&lt;volume&gt;519, Part B&lt;/volume&gt;&lt;number&gt;0&lt;/number&gt;&lt;keywords&gt;&lt;keyword&gt;Submarine groundwater discharge&lt;/keyword&gt;&lt;keyword&gt;Karst&lt;/keyword&gt;&lt;keyword&gt;Modelling&lt;/keyword&gt;&lt;keyword&gt;Salinity&lt;/keyword&gt;&lt;keyword&gt;Nutrient loading&lt;/keyword&gt;&lt;keyword&gt;Ireland&lt;/keyword&gt;&lt;/keywords&gt;&lt;dates&gt;&lt;year&gt;2014&lt;/year&gt;&lt;pub-dates&gt;&lt;date&gt;11/27/&lt;/date&gt;&lt;/pub-dates&gt;&lt;/dates&gt;&lt;isbn&gt;0022-1694&lt;/isbn&gt;&lt;urls&gt;&lt;related-urls&gt;&lt;url&gt;http://www.sciencedirect.com/science/article/pii/S0022169414007781&lt;/url&gt;&lt;/related-urls&gt;&lt;/urls&gt;&lt;electronic-resource-num&gt;http://dx.doi.org/10.1016/j.jhydrol.2014.09.086&lt;/electronic-resource-num&gt;&lt;/record&gt;&lt;/Cite&gt;&lt;/EndNote&gt;</w:instrText>
      </w:r>
      <w:r w:rsidR="00496F71">
        <w:rPr>
          <w:szCs w:val="22"/>
          <w:lang w:val="en-IE"/>
        </w:rPr>
        <w:fldChar w:fldCharType="separate"/>
      </w:r>
      <w:r w:rsidR="00496F71">
        <w:rPr>
          <w:noProof/>
          <w:szCs w:val="22"/>
          <w:lang w:val="en-IE"/>
        </w:rPr>
        <w:t>(</w:t>
      </w:r>
      <w:hyperlink w:anchor="_ENREF_24" w:tooltip="McCormack, 2014 #590" w:history="1">
        <w:r w:rsidR="006B35EC">
          <w:rPr>
            <w:noProof/>
            <w:szCs w:val="22"/>
            <w:lang w:val="en-IE"/>
          </w:rPr>
          <w:t>McCormack et al., 2014</w:t>
        </w:r>
      </w:hyperlink>
      <w:r w:rsidR="00496F71">
        <w:rPr>
          <w:noProof/>
          <w:szCs w:val="22"/>
          <w:lang w:val="en-IE"/>
        </w:rPr>
        <w:t>)</w:t>
      </w:r>
      <w:r w:rsidR="00496F71">
        <w:rPr>
          <w:szCs w:val="22"/>
          <w:lang w:val="en-IE"/>
        </w:rPr>
        <w:fldChar w:fldCharType="end"/>
      </w:r>
      <w:r w:rsidR="00A704EF">
        <w:rPr>
          <w:szCs w:val="22"/>
          <w:lang w:val="en-IE"/>
        </w:rPr>
        <w:t>.</w:t>
      </w:r>
    </w:p>
    <w:p w:rsidR="00A704EF" w:rsidRPr="00FF1AB5" w:rsidRDefault="00A704EF" w:rsidP="00E6166A">
      <w:pPr>
        <w:rPr>
          <w:color w:val="FF0000"/>
        </w:rPr>
      </w:pPr>
    </w:p>
    <w:p w:rsidR="007339D1" w:rsidRDefault="00134F71" w:rsidP="00134F71">
      <w:pPr>
        <w:pStyle w:val="Heading2"/>
      </w:pPr>
      <w:r>
        <w:t>Nutrients</w:t>
      </w:r>
    </w:p>
    <w:p w:rsidR="005A2138" w:rsidRPr="004579F1" w:rsidRDefault="005A2138" w:rsidP="005A2138">
      <w:pPr>
        <w:rPr>
          <w:szCs w:val="22"/>
          <w:lang w:val="en-IE"/>
        </w:rPr>
      </w:pPr>
      <w:r w:rsidRPr="004579F1">
        <w:rPr>
          <w:szCs w:val="22"/>
          <w:lang w:val="en-IE"/>
        </w:rPr>
        <w:t xml:space="preserve">The results of the </w:t>
      </w:r>
      <w:r w:rsidR="00125AB6" w:rsidRPr="004579F1">
        <w:rPr>
          <w:szCs w:val="22"/>
          <w:lang w:val="en-IE"/>
        </w:rPr>
        <w:t>n</w:t>
      </w:r>
      <w:r w:rsidRPr="004579F1">
        <w:rPr>
          <w:szCs w:val="22"/>
          <w:lang w:val="en-IE"/>
        </w:rPr>
        <w:t>itrate (NO</w:t>
      </w:r>
      <w:r w:rsidRPr="004579F1">
        <w:rPr>
          <w:szCs w:val="22"/>
          <w:vertAlign w:val="subscript"/>
          <w:lang w:val="en-IE"/>
        </w:rPr>
        <w:t>3</w:t>
      </w:r>
      <w:r w:rsidRPr="004579F1">
        <w:rPr>
          <w:szCs w:val="22"/>
          <w:lang w:val="en-IE"/>
        </w:rPr>
        <w:t xml:space="preserve">), total nitrogen, (TN), total dissolved phosphorus (TDP) and total phosphorus (TP) sample analysis are shown in </w:t>
      </w:r>
      <w:r w:rsidRPr="004579F1">
        <w:rPr>
          <w:szCs w:val="22"/>
          <w:lang w:val="en-IE"/>
        </w:rPr>
        <w:fldChar w:fldCharType="begin"/>
      </w:r>
      <w:r w:rsidRPr="004579F1">
        <w:rPr>
          <w:szCs w:val="22"/>
          <w:lang w:val="en-IE"/>
        </w:rPr>
        <w:instrText xml:space="preserve"> REF _Ref385523476 \h  \* MERGEFORMAT </w:instrText>
      </w:r>
      <w:r w:rsidRPr="004579F1">
        <w:rPr>
          <w:szCs w:val="22"/>
          <w:lang w:val="en-IE"/>
        </w:rPr>
      </w:r>
      <w:r w:rsidRPr="004579F1">
        <w:rPr>
          <w:szCs w:val="22"/>
          <w:lang w:val="en-IE"/>
        </w:rPr>
        <w:fldChar w:fldCharType="separate"/>
      </w:r>
      <w:r w:rsidR="00E40475" w:rsidRPr="00E40475">
        <w:rPr>
          <w:szCs w:val="22"/>
        </w:rPr>
        <w:t xml:space="preserve">Table </w:t>
      </w:r>
      <w:r w:rsidR="00E40475" w:rsidRPr="00E40475">
        <w:rPr>
          <w:noProof/>
          <w:szCs w:val="22"/>
        </w:rPr>
        <w:t>1</w:t>
      </w:r>
      <w:r w:rsidRPr="004579F1">
        <w:rPr>
          <w:szCs w:val="22"/>
          <w:lang w:val="en-IE"/>
        </w:rPr>
        <w:fldChar w:fldCharType="end"/>
      </w:r>
      <w:r w:rsidRPr="004579F1">
        <w:rPr>
          <w:szCs w:val="22"/>
          <w:lang w:val="en-IE"/>
        </w:rPr>
        <w:t>.  Nitrite (NO</w:t>
      </w:r>
      <w:r w:rsidRPr="004579F1">
        <w:rPr>
          <w:szCs w:val="22"/>
          <w:vertAlign w:val="subscript"/>
          <w:lang w:val="en-IE"/>
        </w:rPr>
        <w:t>2</w:t>
      </w:r>
      <w:r w:rsidRPr="004579F1">
        <w:rPr>
          <w:szCs w:val="22"/>
          <w:lang w:val="en-IE"/>
        </w:rPr>
        <w:t>) and ammonium (NH</w:t>
      </w:r>
      <w:r w:rsidRPr="004579F1">
        <w:rPr>
          <w:szCs w:val="22"/>
          <w:vertAlign w:val="subscript"/>
          <w:lang w:val="en-IE"/>
        </w:rPr>
        <w:t>4</w:t>
      </w:r>
      <w:r w:rsidRPr="004579F1">
        <w:rPr>
          <w:szCs w:val="22"/>
          <w:lang w:val="en-IE"/>
        </w:rPr>
        <w:t xml:space="preserve">) were also tested for </w:t>
      </w:r>
      <w:r w:rsidR="00D22CE2">
        <w:rPr>
          <w:szCs w:val="22"/>
          <w:lang w:val="en-IE"/>
        </w:rPr>
        <w:t>at times</w:t>
      </w:r>
      <w:r w:rsidRPr="004579F1">
        <w:rPr>
          <w:szCs w:val="22"/>
          <w:lang w:val="en-IE"/>
        </w:rPr>
        <w:t xml:space="preserve"> but were often near-to or below detection limits and as such, their measurement </w:t>
      </w:r>
      <w:r w:rsidR="004579F1" w:rsidRPr="004579F1">
        <w:rPr>
          <w:szCs w:val="22"/>
          <w:lang w:val="en-IE"/>
        </w:rPr>
        <w:t>was ceased.</w:t>
      </w:r>
      <w:r w:rsidRPr="004579F1">
        <w:rPr>
          <w:szCs w:val="22"/>
          <w:lang w:val="en-IE"/>
        </w:rPr>
        <w:t xml:space="preserve"> </w:t>
      </w:r>
    </w:p>
    <w:p w:rsidR="008F1EAD" w:rsidRDefault="00FD600E" w:rsidP="00CF5B1A">
      <w:pPr>
        <w:pStyle w:val="Heading3"/>
      </w:pPr>
      <w:r>
        <w:lastRenderedPageBreak/>
        <w:t xml:space="preserve">Surface-water: </w:t>
      </w:r>
      <w:r w:rsidR="00CF5B1A">
        <w:t>Rivers</w:t>
      </w:r>
    </w:p>
    <w:p w:rsidR="004D60D8" w:rsidRDefault="004D60D8" w:rsidP="004D60D8">
      <w:pPr>
        <w:rPr>
          <w:szCs w:val="22"/>
          <w:lang w:val="en-IE"/>
        </w:rPr>
      </w:pPr>
      <w:r>
        <w:rPr>
          <w:szCs w:val="22"/>
          <w:lang w:val="en-IE"/>
        </w:rPr>
        <w:t>Values for N in all rivers ranged between 0 and 3.9 mg/l with a mean of 1.01 mg/l</w:t>
      </w:r>
      <w:r w:rsidR="00766D21">
        <w:rPr>
          <w:szCs w:val="22"/>
          <w:lang w:val="en-IE"/>
        </w:rPr>
        <w:t>,</w:t>
      </w:r>
      <w:r>
        <w:rPr>
          <w:szCs w:val="22"/>
          <w:lang w:val="en-IE"/>
        </w:rPr>
        <w:t xml:space="preserve"> whilst </w:t>
      </w:r>
      <w:r w:rsidR="00766D21">
        <w:rPr>
          <w:szCs w:val="22"/>
          <w:lang w:val="en-IE"/>
        </w:rPr>
        <w:t xml:space="preserve">P concentrations </w:t>
      </w:r>
      <w:r>
        <w:rPr>
          <w:szCs w:val="22"/>
          <w:lang w:val="en-IE"/>
        </w:rPr>
        <w:t xml:space="preserve">ranged between 0 and </w:t>
      </w:r>
      <w:r w:rsidR="00496F71">
        <w:rPr>
          <w:szCs w:val="22"/>
          <w:lang w:val="en-IE"/>
        </w:rPr>
        <w:t>0.12</w:t>
      </w:r>
      <w:r>
        <w:rPr>
          <w:szCs w:val="22"/>
          <w:lang w:val="en-IE"/>
        </w:rPr>
        <w:t xml:space="preserve"> </w:t>
      </w:r>
      <w:r w:rsidR="00496F71">
        <w:rPr>
          <w:szCs w:val="22"/>
          <w:lang w:val="en-IE"/>
        </w:rPr>
        <w:t>m</w:t>
      </w:r>
      <w:r>
        <w:rPr>
          <w:szCs w:val="22"/>
          <w:lang w:val="en-IE"/>
        </w:rPr>
        <w:t xml:space="preserve">g/l with a mean value of </w:t>
      </w:r>
      <w:r w:rsidR="00496F71">
        <w:rPr>
          <w:szCs w:val="22"/>
          <w:lang w:val="en-IE"/>
        </w:rPr>
        <w:t>0.026</w:t>
      </w:r>
      <w:r>
        <w:rPr>
          <w:szCs w:val="22"/>
          <w:lang w:val="en-IE"/>
        </w:rPr>
        <w:t xml:space="preserve"> </w:t>
      </w:r>
      <w:r w:rsidR="00496F71">
        <w:rPr>
          <w:szCs w:val="22"/>
          <w:lang w:val="en-IE"/>
        </w:rPr>
        <w:t>m</w:t>
      </w:r>
      <w:r>
        <w:rPr>
          <w:szCs w:val="22"/>
          <w:lang w:val="en-IE"/>
        </w:rPr>
        <w:t>g/l. Nutrient concentrations in the rivers showed a high degree of variation, althoug</w:t>
      </w:r>
      <w:r w:rsidR="00732A59">
        <w:rPr>
          <w:szCs w:val="22"/>
          <w:lang w:val="en-IE"/>
        </w:rPr>
        <w:t>h a seasonal trend was apparent</w:t>
      </w:r>
      <w:r>
        <w:rPr>
          <w:szCs w:val="22"/>
          <w:lang w:val="en-IE"/>
        </w:rPr>
        <w:t xml:space="preserve"> with N and P highest in summer (similar to the findings of </w:t>
      </w:r>
      <w:hyperlink w:anchor="_ENREF_11" w:tooltip="Drew, 1993 #50" w:history="1">
        <w:r w:rsidR="006B35EC" w:rsidRPr="004D60D8">
          <w:fldChar w:fldCharType="begin"/>
        </w:r>
        <w:r w:rsidR="006B35EC" w:rsidRPr="004D60D8">
          <w:instrText xml:space="preserve"> ADDIN EN.CITE &lt;EndNote&gt;&lt;Cite AuthorYear="1"&gt;&lt;Author&gt;Drew&lt;/Author&gt;&lt;Year&gt;1993&lt;/Year&gt;&lt;RecNum&gt;50&lt;/RecNum&gt;&lt;DisplayText&gt;Drew and Daly (1993)&lt;/DisplayText&gt;&lt;record&gt;&lt;rec-number&gt;50&lt;/rec-number&gt;&lt;foreign-keys&gt;&lt;key app="EN" db-id="dswvr2vdivtsvfepswzvft9gtsxe5zxfaavp" timestamp="1310564810"&gt;50&lt;/key&gt;&lt;/foreign-keys&gt;&lt;ref-type name="Report"&gt;27&lt;/ref-type&gt;&lt;contributors&gt;&lt;authors&gt;&lt;author&gt;Drew, D.P.&lt;/author&gt;&lt;author&gt;Daly, D.&lt;/author&gt;&lt;/authors&gt;&lt;/contributors&gt;&lt;titles&gt;&lt;title&gt;Groundwater and karstification in Mid-Galway, South Mayo and North Clare&lt;/title&gt;&lt;secondary-title&gt;Report series 93/3&lt;/secondary-title&gt;&lt;/titles&gt;&lt;dates&gt;&lt;year&gt;1993&lt;/year&gt;&lt;/dates&gt;&lt;publisher&gt;Geological Survey of Ireland&lt;/publisher&gt;&lt;isbn&gt;RS 93/3&lt;/isbn&gt;&lt;urls&gt;&lt;/urls&gt;&lt;/record&gt;&lt;/Cite&gt;&lt;/EndNote&gt;</w:instrText>
        </w:r>
        <w:r w:rsidR="006B35EC" w:rsidRPr="004D60D8">
          <w:fldChar w:fldCharType="separate"/>
        </w:r>
        <w:r w:rsidR="006B35EC" w:rsidRPr="004D60D8">
          <w:t>Drew and Daly (1993)</w:t>
        </w:r>
        <w:r w:rsidR="006B35EC" w:rsidRPr="004D60D8">
          <w:fldChar w:fldCharType="end"/>
        </w:r>
      </w:hyperlink>
      <w:r>
        <w:rPr>
          <w:szCs w:val="22"/>
          <w:lang w:val="en-IE"/>
        </w:rPr>
        <w:t xml:space="preserve">) whereas lowest concentrations were in the winter for N and the spring for P. </w:t>
      </w:r>
      <w:r w:rsidR="00766D21">
        <w:rPr>
          <w:szCs w:val="22"/>
          <w:lang w:val="en-IE"/>
        </w:rPr>
        <w:t>C</w:t>
      </w:r>
      <w:r>
        <w:rPr>
          <w:szCs w:val="22"/>
          <w:lang w:val="en-IE"/>
        </w:rPr>
        <w:t>ontrasting source/transport dynamics between N and P are apparent</w:t>
      </w:r>
      <w:r w:rsidR="00766D21">
        <w:rPr>
          <w:szCs w:val="22"/>
          <w:lang w:val="en-IE"/>
        </w:rPr>
        <w:t xml:space="preserve"> in the river nutrient concentrations</w:t>
      </w:r>
      <w:r>
        <w:rPr>
          <w:szCs w:val="22"/>
          <w:lang w:val="en-IE"/>
        </w:rPr>
        <w:t xml:space="preserve">. Mean values of TN for each river </w:t>
      </w:r>
      <w:r w:rsidR="00212718">
        <w:rPr>
          <w:szCs w:val="22"/>
          <w:lang w:val="en-IE"/>
        </w:rPr>
        <w:t>were</w:t>
      </w:r>
      <w:r>
        <w:rPr>
          <w:szCs w:val="22"/>
          <w:lang w:val="en-IE"/>
        </w:rPr>
        <w:t xml:space="preserve"> quite similar, ranging between 0.87 and 1.12 mg/l whereas for TP, the rivers show</w:t>
      </w:r>
      <w:r w:rsidR="00212718">
        <w:rPr>
          <w:szCs w:val="22"/>
          <w:lang w:val="en-IE"/>
        </w:rPr>
        <w:t>ed</w:t>
      </w:r>
      <w:r>
        <w:rPr>
          <w:szCs w:val="22"/>
          <w:lang w:val="en-IE"/>
        </w:rPr>
        <w:t xml:space="preserve"> a wide range of mean values between </w:t>
      </w:r>
      <w:r w:rsidR="00496F71">
        <w:rPr>
          <w:szCs w:val="22"/>
          <w:lang w:val="en-IE"/>
        </w:rPr>
        <w:t>0.0</w:t>
      </w:r>
      <w:r>
        <w:rPr>
          <w:szCs w:val="22"/>
          <w:lang w:val="en-IE"/>
        </w:rPr>
        <w:t xml:space="preserve">11 and </w:t>
      </w:r>
      <w:r w:rsidR="00496F71">
        <w:rPr>
          <w:szCs w:val="22"/>
          <w:lang w:val="en-IE"/>
        </w:rPr>
        <w:t>0.0</w:t>
      </w:r>
      <w:r w:rsidR="00926153">
        <w:rPr>
          <w:szCs w:val="22"/>
          <w:lang w:val="en-IE"/>
        </w:rPr>
        <w:t>32</w:t>
      </w:r>
      <w:r w:rsidR="00FE6A45">
        <w:rPr>
          <w:szCs w:val="22"/>
          <w:lang w:val="en-IE"/>
        </w:rPr>
        <w:t xml:space="preserve"> m</w:t>
      </w:r>
      <w:r>
        <w:rPr>
          <w:szCs w:val="22"/>
          <w:lang w:val="en-IE"/>
        </w:rPr>
        <w:t>g/l (</w:t>
      </w:r>
      <w:r>
        <w:rPr>
          <w:szCs w:val="22"/>
          <w:lang w:val="en-IE"/>
        </w:rPr>
        <w:fldChar w:fldCharType="begin"/>
      </w:r>
      <w:r>
        <w:rPr>
          <w:szCs w:val="22"/>
          <w:lang w:val="en-IE"/>
        </w:rPr>
        <w:instrText xml:space="preserve"> REF _Ref385523476 \h  \* MERGEFORMAT </w:instrText>
      </w:r>
      <w:r>
        <w:rPr>
          <w:szCs w:val="22"/>
          <w:lang w:val="en-IE"/>
        </w:rPr>
      </w:r>
      <w:r>
        <w:rPr>
          <w:szCs w:val="22"/>
          <w:lang w:val="en-IE"/>
        </w:rPr>
        <w:fldChar w:fldCharType="separate"/>
      </w:r>
      <w:r w:rsidR="00E40475" w:rsidRPr="00E40475">
        <w:rPr>
          <w:szCs w:val="22"/>
          <w:lang w:val="en-IE"/>
        </w:rPr>
        <w:t>Table 1</w:t>
      </w:r>
      <w:r>
        <w:rPr>
          <w:szCs w:val="22"/>
          <w:lang w:val="en-IE"/>
        </w:rPr>
        <w:fldChar w:fldCharType="end"/>
      </w:r>
      <w:r>
        <w:rPr>
          <w:szCs w:val="22"/>
          <w:lang w:val="en-IE"/>
        </w:rPr>
        <w:t xml:space="preserve">). </w:t>
      </w:r>
    </w:p>
    <w:p w:rsidR="00CF5B1A" w:rsidRPr="008F707E" w:rsidRDefault="00CF5B1A" w:rsidP="00CF5B1A">
      <w:pPr>
        <w:rPr>
          <w:szCs w:val="22"/>
          <w:lang w:val="en-IE"/>
        </w:rPr>
      </w:pPr>
    </w:p>
    <w:p w:rsidR="00C56F6C" w:rsidRDefault="00732A59" w:rsidP="00C56F6C">
      <w:pPr>
        <w:rPr>
          <w:sz w:val="20"/>
          <w:lang w:val="en-IE"/>
        </w:rPr>
      </w:pPr>
      <w:r>
        <w:rPr>
          <w:szCs w:val="22"/>
          <w:lang w:val="en-IE"/>
        </w:rPr>
        <w:t xml:space="preserve">The lack of variation between all sampling locations for N, and the lack of variation between upper and lower river sampling locations for both N and P indicates that there is a minor </w:t>
      </w:r>
      <w:r>
        <w:rPr>
          <w:color w:val="000000" w:themeColor="text1"/>
          <w:szCs w:val="22"/>
          <w:lang w:val="en-IE"/>
        </w:rPr>
        <w:t xml:space="preserve">but constant addition of nutrients to the rivers as they travel down through their catchments. </w:t>
      </w:r>
      <w:r>
        <w:rPr>
          <w:szCs w:val="22"/>
          <w:lang w:val="en-IE"/>
        </w:rPr>
        <w:t xml:space="preserve">This might suggest that overall agriculture and forestry practices on the </w:t>
      </w:r>
      <w:r w:rsidR="00816944">
        <w:rPr>
          <w:szCs w:val="22"/>
          <w:lang w:val="en-IE"/>
        </w:rPr>
        <w:t>m</w:t>
      </w:r>
      <w:r>
        <w:rPr>
          <w:szCs w:val="22"/>
          <w:lang w:val="en-IE"/>
        </w:rPr>
        <w:t xml:space="preserve">ountains catchment add very little nutrients into the </w:t>
      </w:r>
      <w:r w:rsidRPr="00E0086F">
        <w:rPr>
          <w:szCs w:val="22"/>
          <w:lang w:val="en-IE"/>
        </w:rPr>
        <w:t xml:space="preserve">rivers or that the net attenuation processes leave only low levels of nutrients in the surface water. Figures 5 and 6 show examples of nutrient variation for the </w:t>
      </w:r>
      <w:r w:rsidR="00816944">
        <w:rPr>
          <w:szCs w:val="22"/>
          <w:lang w:val="en-IE"/>
        </w:rPr>
        <w:t>SA1 River</w:t>
      </w:r>
      <w:r w:rsidRPr="00E0086F">
        <w:rPr>
          <w:szCs w:val="22"/>
          <w:lang w:val="en-IE"/>
        </w:rPr>
        <w:t xml:space="preserve"> (upper and lower sampling locations). The </w:t>
      </w:r>
      <w:r>
        <w:rPr>
          <w:szCs w:val="22"/>
          <w:lang w:val="en-IE"/>
        </w:rPr>
        <w:t>peak in P  in July 2012 (</w:t>
      </w:r>
      <w:r>
        <w:rPr>
          <w:szCs w:val="22"/>
          <w:lang w:val="en-IE"/>
        </w:rPr>
        <w:fldChar w:fldCharType="begin"/>
      </w:r>
      <w:r>
        <w:rPr>
          <w:szCs w:val="22"/>
          <w:lang w:val="en-IE"/>
        </w:rPr>
        <w:instrText xml:space="preserve"> REF _Ref385952757 \h  \* MERGEFORMAT </w:instrText>
      </w:r>
      <w:r>
        <w:rPr>
          <w:szCs w:val="22"/>
          <w:lang w:val="en-IE"/>
        </w:rPr>
      </w:r>
      <w:r>
        <w:rPr>
          <w:szCs w:val="22"/>
          <w:lang w:val="en-IE"/>
        </w:rPr>
        <w:fldChar w:fldCharType="separate"/>
      </w:r>
      <w:r w:rsidR="00E40475" w:rsidRPr="00E40475">
        <w:rPr>
          <w:szCs w:val="22"/>
        </w:rPr>
        <w:t xml:space="preserve">Figure </w:t>
      </w:r>
      <w:r w:rsidR="00E40475" w:rsidRPr="00E40475">
        <w:rPr>
          <w:noProof/>
          <w:szCs w:val="22"/>
        </w:rPr>
        <w:t>6</w:t>
      </w:r>
      <w:r>
        <w:rPr>
          <w:szCs w:val="22"/>
          <w:lang w:val="en-IE"/>
        </w:rPr>
        <w:fldChar w:fldCharType="end"/>
      </w:r>
      <w:r>
        <w:rPr>
          <w:szCs w:val="22"/>
          <w:lang w:val="en-IE"/>
        </w:rPr>
        <w:t xml:space="preserve">) (which was also seen to a lesser extent in the other two rivers) occurs during the typical forestry fertilisation season of April to August </w:t>
      </w:r>
      <w:r>
        <w:rPr>
          <w:szCs w:val="22"/>
          <w:lang w:val="en-IE"/>
        </w:rPr>
        <w:fldChar w:fldCharType="begin"/>
      </w:r>
      <w:r>
        <w:rPr>
          <w:szCs w:val="22"/>
          <w:lang w:val="en-IE"/>
        </w:rPr>
        <w:instrText xml:space="preserve"> ADDIN EN.CITE &lt;EndNote&gt;&lt;Cite&gt;&lt;Author&gt;Teagasc&lt;/Author&gt;&lt;Year&gt;2013&lt;/Year&gt;&lt;RecNum&gt;466&lt;/RecNum&gt;&lt;DisplayText&gt;(Teagasc, 2013)&lt;/DisplayText&gt;&lt;record&gt;&lt;rec-number&gt;466&lt;/rec-number&gt;&lt;foreign-keys&gt;&lt;key app="EN" db-id="dswvr2vdivtsvfepswzvft9gtsxe5zxfaavp" timestamp="1374955113"&gt;466&lt;/key&gt;&lt;/foreign-keys&gt;&lt;ref-type name="Web Page"&gt;12&lt;/ref-type&gt;&lt;contributors&gt;&lt;authors&gt;&lt;author&gt;Teagasc&lt;/author&gt;&lt;/authors&gt;&lt;/contributors&gt;&lt;titles&gt;&lt;title&gt;Nutrient requirements in forestry&lt;/title&gt;&lt;/titles&gt;&lt;volume&gt;2013&lt;/volume&gt;&lt;number&gt;27th July&lt;/number&gt;&lt;dates&gt;&lt;year&gt;2013&lt;/year&gt;&lt;/dates&gt;&lt;urls&gt;&lt;related-urls&gt;&lt;url&gt;http://www.teagasc.ie/forestry/advice/nutrient_requirements.asp&lt;/url&gt;&lt;/related-urls&gt;&lt;/urls&gt;&lt;/record&gt;&lt;/Cite&gt;&lt;/EndNote&gt;</w:instrText>
      </w:r>
      <w:r>
        <w:rPr>
          <w:szCs w:val="22"/>
          <w:lang w:val="en-IE"/>
        </w:rPr>
        <w:fldChar w:fldCharType="separate"/>
      </w:r>
      <w:r>
        <w:rPr>
          <w:szCs w:val="22"/>
          <w:lang w:val="en-IE"/>
        </w:rPr>
        <w:t>(</w:t>
      </w:r>
      <w:hyperlink w:anchor="_ENREF_39" w:tooltip="Teagasc, 2013 #466" w:history="1">
        <w:r w:rsidR="006B35EC" w:rsidRPr="00732A59">
          <w:t>Teagasc, 2013</w:t>
        </w:r>
      </w:hyperlink>
      <w:r>
        <w:rPr>
          <w:szCs w:val="22"/>
          <w:lang w:val="en-IE"/>
        </w:rPr>
        <w:t>)</w:t>
      </w:r>
      <w:r>
        <w:rPr>
          <w:szCs w:val="22"/>
          <w:lang w:val="en-IE"/>
        </w:rPr>
        <w:fldChar w:fldCharType="end"/>
      </w:r>
      <w:r>
        <w:rPr>
          <w:szCs w:val="22"/>
          <w:lang w:val="en-IE"/>
        </w:rPr>
        <w:t xml:space="preserve"> and coincides with a period of heavy rainfall. </w:t>
      </w:r>
      <w:hyperlink w:anchor="_ENREF_20" w:tooltip="Kilroy, 2005 #443" w:history="1">
        <w:r w:rsidR="006B35EC" w:rsidRPr="00732A59">
          <w:fldChar w:fldCharType="begin"/>
        </w:r>
        <w:r w:rsidR="006B35EC" w:rsidRPr="00732A59">
          <w:instrText xml:space="preserve"> ADDIN EN.CITE &lt;EndNote&gt;&lt;Cite AuthorYear="1"&gt;&lt;Author&gt;Kilroy&lt;/Author&gt;&lt;Year&gt;2005&lt;/Year&gt;&lt;RecNum&gt;443&lt;/RecNum&gt;&lt;DisplayText&gt;Kilroy and Coxon (2005)&lt;/DisplayText&gt;&lt;record&gt;&lt;rec-number&gt;443&lt;/rec-number&gt;&lt;foreign-keys&gt;&lt;key app="EN" db-id="dswvr2vdivtsvfepswzvft9gtsxe5zxfaavp" timestamp="1372606066"&gt;443&lt;/key&gt;&lt;/foreign-keys&gt;&lt;ref-type name="Journal Article"&gt;17&lt;/ref-type&gt;&lt;contributors&gt;&lt;authors&gt;&lt;author&gt;Kilroy, G.&lt;/author&gt;&lt;author&gt;Coxon, C.E.&lt;/author&gt;&lt;/authors&gt;&lt;/contributors&gt;&lt;titles&gt;&lt;title&gt;Temporal variability of phosphorus fractions in Irish karst springs&lt;/title&gt;&lt;secondary-title&gt;Environmental Geology&lt;/secondary-title&gt;&lt;alt-title&gt;Env Geol&lt;/alt-title&gt;&lt;/titles&gt;&lt;periodical&gt;&lt;full-title&gt;Environmental Geology&lt;/full-title&gt;&lt;/periodical&gt;&lt;pages&gt;421-430&lt;/pages&gt;&lt;volume&gt;47&lt;/volume&gt;&lt;number&gt;3&lt;/number&gt;&lt;keywords&gt;&lt;keyword&gt;Phosphorus&lt;/keyword&gt;&lt;keyword&gt;Karst aquifer&lt;/keyword&gt;&lt;keyword&gt;Temporal variability&lt;/keyword&gt;&lt;keyword&gt;Groundwater&lt;/keyword&gt;&lt;/keywords&gt;&lt;dates&gt;&lt;year&gt;2005&lt;/year&gt;&lt;pub-dates&gt;&lt;date&gt;2005/02/01&lt;/date&gt;&lt;/pub-dates&gt;&lt;/dates&gt;&lt;publisher&gt;Springer-Verlag&lt;/publisher&gt;&lt;isbn&gt;0943-0105&lt;/isbn&gt;&lt;urls&gt;&lt;related-urls&gt;&lt;url&gt;http://dx.doi.org/10.1007/s00254-004-1171-4&lt;/url&gt;&lt;/related-urls&gt;&lt;/urls&gt;&lt;electronic-resource-num&gt;10.1007/s00254-004-1171-4&lt;/electronic-resource-num&gt;&lt;language&gt;English&lt;/language&gt;&lt;/record&gt;&lt;/Cite&gt;&lt;/EndNote&gt;</w:instrText>
        </w:r>
        <w:r w:rsidR="006B35EC" w:rsidRPr="00732A59">
          <w:fldChar w:fldCharType="separate"/>
        </w:r>
        <w:r w:rsidR="006B35EC" w:rsidRPr="00732A59">
          <w:t>Kilroy and Coxon (2005)</w:t>
        </w:r>
        <w:r w:rsidR="006B35EC" w:rsidRPr="00732A59">
          <w:fldChar w:fldCharType="end"/>
        </w:r>
      </w:hyperlink>
      <w:r>
        <w:rPr>
          <w:szCs w:val="22"/>
          <w:lang w:val="en-IE"/>
        </w:rPr>
        <w:t xml:space="preserve"> </w:t>
      </w:r>
      <w:proofErr w:type="gramStart"/>
      <w:r>
        <w:rPr>
          <w:szCs w:val="22"/>
          <w:lang w:val="en-IE"/>
        </w:rPr>
        <w:t>suggest</w:t>
      </w:r>
      <w:proofErr w:type="gramEnd"/>
      <w:r>
        <w:rPr>
          <w:szCs w:val="22"/>
          <w:lang w:val="en-IE"/>
        </w:rPr>
        <w:t xml:space="preserve"> that a response such as this could possibly reflect a hydrological switch where the catchments change from a soil moisture deficit to a soil moisture surplus situation. </w:t>
      </w:r>
    </w:p>
    <w:p w:rsidR="00C56F6C" w:rsidRDefault="00C56F6C" w:rsidP="00A7544B">
      <w:pPr>
        <w:rPr>
          <w:b/>
          <w:color w:val="FF0000"/>
        </w:rPr>
      </w:pPr>
    </w:p>
    <w:p w:rsidR="00C245BA" w:rsidRDefault="00C245BA" w:rsidP="00C245BA">
      <w:pPr>
        <w:rPr>
          <w:szCs w:val="22"/>
          <w:lang w:val="en-IE"/>
        </w:rPr>
      </w:pPr>
      <w:r>
        <w:rPr>
          <w:lang w:val="en-IE"/>
        </w:rPr>
        <w:t>Nutrient</w:t>
      </w:r>
      <w:r w:rsidR="000D045C">
        <w:rPr>
          <w:lang w:val="en-IE"/>
        </w:rPr>
        <w:t xml:space="preserve"> load quantities in the rivers were </w:t>
      </w:r>
      <w:r>
        <w:rPr>
          <w:lang w:val="en-IE"/>
        </w:rPr>
        <w:t xml:space="preserve">calculated by combining the measured nutrient </w:t>
      </w:r>
      <w:r>
        <w:rPr>
          <w:szCs w:val="22"/>
          <w:lang w:val="en-IE"/>
        </w:rPr>
        <w:t>concentration data with the observed flow data</w:t>
      </w:r>
      <w:r w:rsidR="000D045C">
        <w:rPr>
          <w:szCs w:val="22"/>
          <w:lang w:val="en-IE"/>
        </w:rPr>
        <w:t xml:space="preserve">. </w:t>
      </w:r>
      <w:r w:rsidR="00A7544B">
        <w:rPr>
          <w:szCs w:val="22"/>
          <w:lang w:val="en-IE"/>
        </w:rPr>
        <w:t xml:space="preserve">TN </w:t>
      </w:r>
      <w:r w:rsidR="000D045C">
        <w:rPr>
          <w:szCs w:val="22"/>
          <w:lang w:val="en-IE"/>
        </w:rPr>
        <w:t xml:space="preserve">loading </w:t>
      </w:r>
      <w:r w:rsidR="00387418">
        <w:rPr>
          <w:szCs w:val="22"/>
          <w:lang w:val="en-IE"/>
        </w:rPr>
        <w:t xml:space="preserve">for the </w:t>
      </w:r>
      <w:r w:rsidR="00816944">
        <w:rPr>
          <w:szCs w:val="22"/>
          <w:lang w:val="en-IE"/>
        </w:rPr>
        <w:t>SA1</w:t>
      </w:r>
      <w:r w:rsidR="00387418">
        <w:rPr>
          <w:szCs w:val="22"/>
          <w:lang w:val="en-IE"/>
        </w:rPr>
        <w:t xml:space="preserve">, </w:t>
      </w:r>
      <w:r w:rsidR="00816944">
        <w:rPr>
          <w:szCs w:val="22"/>
          <w:lang w:val="en-IE"/>
        </w:rPr>
        <w:t>SA2</w:t>
      </w:r>
      <w:r w:rsidR="00387418">
        <w:rPr>
          <w:szCs w:val="22"/>
          <w:lang w:val="en-IE"/>
        </w:rPr>
        <w:t xml:space="preserve">, </w:t>
      </w:r>
      <w:r w:rsidR="00816944">
        <w:rPr>
          <w:szCs w:val="22"/>
          <w:lang w:val="en-IE"/>
        </w:rPr>
        <w:t>SA3</w:t>
      </w:r>
      <w:r w:rsidR="00387418">
        <w:rPr>
          <w:szCs w:val="22"/>
          <w:lang w:val="en-IE"/>
        </w:rPr>
        <w:t xml:space="preserve"> </w:t>
      </w:r>
      <w:r w:rsidR="000D045C" w:rsidRPr="00387418">
        <w:rPr>
          <w:szCs w:val="22"/>
          <w:lang w:val="en-IE"/>
        </w:rPr>
        <w:t xml:space="preserve">and </w:t>
      </w:r>
      <w:r w:rsidR="00816944">
        <w:rPr>
          <w:szCs w:val="22"/>
          <w:lang w:val="en-IE"/>
        </w:rPr>
        <w:t>SA4</w:t>
      </w:r>
      <w:r w:rsidR="000D045C" w:rsidRPr="00387418">
        <w:rPr>
          <w:szCs w:val="22"/>
          <w:lang w:val="en-IE"/>
        </w:rPr>
        <w:t xml:space="preserve"> </w:t>
      </w:r>
      <w:r w:rsidR="000D045C">
        <w:rPr>
          <w:szCs w:val="22"/>
          <w:lang w:val="en-IE"/>
        </w:rPr>
        <w:t>rivers was found to be 118</w:t>
      </w:r>
      <w:r w:rsidR="00A7544B" w:rsidRPr="00A7544B">
        <w:rPr>
          <w:szCs w:val="22"/>
          <w:lang w:val="en-IE"/>
        </w:rPr>
        <w:t xml:space="preserve"> </w:t>
      </w:r>
      <w:r w:rsidR="00A7544B">
        <w:rPr>
          <w:szCs w:val="22"/>
          <w:lang w:val="en-IE"/>
        </w:rPr>
        <w:t>kg/day</w:t>
      </w:r>
      <w:r w:rsidR="000D045C">
        <w:rPr>
          <w:szCs w:val="22"/>
          <w:lang w:val="en-IE"/>
        </w:rPr>
        <w:t>, 122</w:t>
      </w:r>
      <w:r w:rsidR="00A7544B" w:rsidRPr="00A7544B">
        <w:rPr>
          <w:szCs w:val="22"/>
          <w:lang w:val="en-IE"/>
        </w:rPr>
        <w:t xml:space="preserve"> </w:t>
      </w:r>
      <w:r w:rsidR="00A7544B">
        <w:rPr>
          <w:szCs w:val="22"/>
          <w:lang w:val="en-IE"/>
        </w:rPr>
        <w:t>kg/day</w:t>
      </w:r>
      <w:r w:rsidR="000D045C">
        <w:rPr>
          <w:szCs w:val="22"/>
          <w:lang w:val="en-IE"/>
        </w:rPr>
        <w:t xml:space="preserve"> and</w:t>
      </w:r>
      <w:r w:rsidR="00387418">
        <w:rPr>
          <w:szCs w:val="22"/>
          <w:lang w:val="en-IE"/>
        </w:rPr>
        <w:t>, 281 kg/day,</w:t>
      </w:r>
      <w:r w:rsidR="000D045C">
        <w:rPr>
          <w:szCs w:val="22"/>
          <w:lang w:val="en-IE"/>
        </w:rPr>
        <w:t xml:space="preserve"> 348</w:t>
      </w:r>
      <w:r w:rsidR="00A7544B">
        <w:rPr>
          <w:szCs w:val="22"/>
          <w:lang w:val="en-IE"/>
        </w:rPr>
        <w:t xml:space="preserve"> kg/day respectively while TP loading was found to be 3.1</w:t>
      </w:r>
      <w:r w:rsidR="00A7544B" w:rsidRPr="00A7544B">
        <w:rPr>
          <w:szCs w:val="22"/>
          <w:lang w:val="en-IE"/>
        </w:rPr>
        <w:t xml:space="preserve"> </w:t>
      </w:r>
      <w:r w:rsidR="00A7544B">
        <w:rPr>
          <w:szCs w:val="22"/>
          <w:lang w:val="en-IE"/>
        </w:rPr>
        <w:t>kg/day, 3.5</w:t>
      </w:r>
      <w:r w:rsidR="00A7544B" w:rsidRPr="00A7544B">
        <w:rPr>
          <w:szCs w:val="22"/>
          <w:lang w:val="en-IE"/>
        </w:rPr>
        <w:t xml:space="preserve"> </w:t>
      </w:r>
      <w:r w:rsidR="00A7544B">
        <w:rPr>
          <w:szCs w:val="22"/>
          <w:lang w:val="en-IE"/>
        </w:rPr>
        <w:t>kg/day</w:t>
      </w:r>
      <w:r w:rsidR="00387418">
        <w:rPr>
          <w:szCs w:val="22"/>
          <w:lang w:val="en-IE"/>
        </w:rPr>
        <w:t>, 7.9 kg/day</w:t>
      </w:r>
      <w:r w:rsidR="00A7544B">
        <w:rPr>
          <w:szCs w:val="22"/>
          <w:lang w:val="en-IE"/>
        </w:rPr>
        <w:t xml:space="preserve"> and 9.8 kg/day respectively.</w:t>
      </w:r>
    </w:p>
    <w:p w:rsidR="00C245BA" w:rsidRDefault="00C245BA" w:rsidP="00C245BA">
      <w:pPr>
        <w:rPr>
          <w:szCs w:val="22"/>
        </w:rPr>
      </w:pPr>
    </w:p>
    <w:p w:rsidR="008F707E" w:rsidRDefault="00FD600E" w:rsidP="008F707E">
      <w:pPr>
        <w:pStyle w:val="Heading3"/>
      </w:pPr>
      <w:bookmarkStart w:id="3" w:name="_Ref386810603"/>
      <w:r>
        <w:t xml:space="preserve">Surface-water: </w:t>
      </w:r>
      <w:r w:rsidR="008F707E">
        <w:t>Turloughs</w:t>
      </w:r>
      <w:bookmarkEnd w:id="3"/>
    </w:p>
    <w:p w:rsidR="00732A59" w:rsidRDefault="0002497A" w:rsidP="00732A59">
      <w:pPr>
        <w:rPr>
          <w:szCs w:val="22"/>
          <w:lang w:val="en-IE"/>
        </w:rPr>
      </w:pPr>
      <w:r w:rsidRPr="008F707E">
        <w:rPr>
          <w:szCs w:val="22"/>
          <w:lang w:val="en-IE"/>
        </w:rPr>
        <w:t xml:space="preserve">Mean TN and TP concentrations for the turloughs were 1.12 mg/l and </w:t>
      </w:r>
      <w:r w:rsidR="00496F71">
        <w:rPr>
          <w:szCs w:val="22"/>
          <w:lang w:val="en-IE"/>
        </w:rPr>
        <w:t>0.034</w:t>
      </w:r>
      <w:r w:rsidRPr="008F707E">
        <w:rPr>
          <w:szCs w:val="22"/>
          <w:lang w:val="en-IE"/>
        </w:rPr>
        <w:t xml:space="preserve"> </w:t>
      </w:r>
      <w:r w:rsidR="00FE6A45">
        <w:rPr>
          <w:szCs w:val="22"/>
          <w:lang w:val="en-IE"/>
        </w:rPr>
        <w:t>m</w:t>
      </w:r>
      <w:r w:rsidRPr="00212428">
        <w:rPr>
          <w:szCs w:val="22"/>
          <w:lang w:val="en-IE"/>
        </w:rPr>
        <w:t xml:space="preserve">g/l with highest concentrations recorded of 4.3 mg/l TN and </w:t>
      </w:r>
      <w:r w:rsidR="00496F71">
        <w:rPr>
          <w:szCs w:val="22"/>
          <w:lang w:val="en-IE"/>
        </w:rPr>
        <w:t>0.</w:t>
      </w:r>
      <w:r w:rsidRPr="00212428">
        <w:rPr>
          <w:szCs w:val="22"/>
          <w:lang w:val="en-IE"/>
        </w:rPr>
        <w:t xml:space="preserve">115 </w:t>
      </w:r>
      <w:r w:rsidR="00496F71">
        <w:rPr>
          <w:szCs w:val="22"/>
          <w:lang w:val="en-IE"/>
        </w:rPr>
        <w:t>m</w:t>
      </w:r>
      <w:r w:rsidRPr="00212428">
        <w:rPr>
          <w:szCs w:val="22"/>
          <w:lang w:val="en-IE"/>
        </w:rPr>
        <w:t xml:space="preserve">g/l TP. </w:t>
      </w:r>
      <w:r w:rsidR="00A60D6A">
        <w:rPr>
          <w:szCs w:val="22"/>
          <w:lang w:val="en-IE"/>
        </w:rPr>
        <w:t xml:space="preserve">It should be noted that </w:t>
      </w:r>
      <w:r>
        <w:rPr>
          <w:szCs w:val="22"/>
          <w:lang w:val="en-IE"/>
        </w:rPr>
        <w:t>the</w:t>
      </w:r>
      <w:r w:rsidR="00A60D6A">
        <w:rPr>
          <w:szCs w:val="22"/>
          <w:lang w:val="en-IE"/>
        </w:rPr>
        <w:t xml:space="preserve"> mean TP concentration lies just below </w:t>
      </w:r>
      <w:r w:rsidR="00496F71">
        <w:rPr>
          <w:szCs w:val="22"/>
          <w:lang w:val="en-IE"/>
        </w:rPr>
        <w:t>0.0</w:t>
      </w:r>
      <w:r w:rsidR="00A60D6A">
        <w:rPr>
          <w:szCs w:val="22"/>
          <w:lang w:val="en-IE"/>
        </w:rPr>
        <w:t>35</w:t>
      </w:r>
      <w:r w:rsidR="00A60D6A" w:rsidRPr="00A60D6A">
        <w:rPr>
          <w:szCs w:val="22"/>
          <w:lang w:val="en-IE"/>
        </w:rPr>
        <w:t xml:space="preserve"> </w:t>
      </w:r>
      <w:r w:rsidR="00496F71">
        <w:rPr>
          <w:szCs w:val="22"/>
          <w:lang w:val="en-IE"/>
        </w:rPr>
        <w:t>m</w:t>
      </w:r>
      <w:r w:rsidR="00A60D6A" w:rsidRPr="00212428">
        <w:rPr>
          <w:szCs w:val="22"/>
          <w:lang w:val="en-IE"/>
        </w:rPr>
        <w:t>g/l</w:t>
      </w:r>
      <w:r w:rsidR="00A60D6A">
        <w:rPr>
          <w:szCs w:val="22"/>
          <w:lang w:val="en-IE"/>
        </w:rPr>
        <w:t xml:space="preserve">, the OECD threshold for TP in eutrophic lakes </w:t>
      </w:r>
      <w:r w:rsidR="00A60D6A">
        <w:rPr>
          <w:szCs w:val="22"/>
          <w:lang w:val="en-IE"/>
        </w:rPr>
        <w:fldChar w:fldCharType="begin"/>
      </w:r>
      <w:r w:rsidR="00A60D6A">
        <w:rPr>
          <w:szCs w:val="22"/>
          <w:lang w:val="en-IE"/>
        </w:rPr>
        <w:instrText xml:space="preserve"> ADDIN EN.CITE &lt;EndNote&gt;&lt;Cite&gt;&lt;Author&gt;OECD&lt;/Author&gt;&lt;Year&gt;1982&lt;/Year&gt;&lt;RecNum&gt;330&lt;/RecNum&gt;&lt;DisplayText&gt;(OECD, 1982)&lt;/DisplayText&gt;&lt;record&gt;&lt;rec-number&gt;330&lt;/rec-number&gt;&lt;foreign-keys&gt;&lt;key app="EN" db-id="dswvr2vdivtsvfepswzvft9gtsxe5zxfaavp" timestamp="1354383168"&gt;330&lt;/key&gt;&lt;/foreign-keys&gt;&lt;ref-type name="Standard"&gt;58&lt;/ref-type&gt;&lt;contributors&gt;&lt;authors&gt;&lt;author&gt;OECD&lt;/author&gt;&lt;/authors&gt;&lt;/contributors&gt;&lt;titles&gt;&lt;title&gt;Eutrophication of waters. Organisation for Economic Co-operation and Development (OECD), Paris, France.&lt;/title&gt;&lt;/titles&gt;&lt;dates&gt;&lt;year&gt;1982&lt;/year&gt;&lt;/dates&gt;&lt;urls&gt;&lt;/urls&gt;&lt;/record&gt;&lt;/Cite&gt;&lt;/EndNote&gt;</w:instrText>
      </w:r>
      <w:r w:rsidR="00A60D6A">
        <w:rPr>
          <w:szCs w:val="22"/>
          <w:lang w:val="en-IE"/>
        </w:rPr>
        <w:fldChar w:fldCharType="separate"/>
      </w:r>
      <w:r w:rsidR="00A60D6A">
        <w:rPr>
          <w:noProof/>
          <w:szCs w:val="22"/>
          <w:lang w:val="en-IE"/>
        </w:rPr>
        <w:t>(</w:t>
      </w:r>
      <w:hyperlink w:anchor="_ENREF_28" w:tooltip="OECD, 1982 #330" w:history="1">
        <w:r w:rsidR="006B35EC">
          <w:rPr>
            <w:noProof/>
            <w:szCs w:val="22"/>
            <w:lang w:val="en-IE"/>
          </w:rPr>
          <w:t>OECD, 1982</w:t>
        </w:r>
      </w:hyperlink>
      <w:r w:rsidR="00A60D6A">
        <w:rPr>
          <w:noProof/>
          <w:szCs w:val="22"/>
          <w:lang w:val="en-IE"/>
        </w:rPr>
        <w:t>)</w:t>
      </w:r>
      <w:r w:rsidR="00A60D6A">
        <w:rPr>
          <w:szCs w:val="22"/>
          <w:lang w:val="en-IE"/>
        </w:rPr>
        <w:fldChar w:fldCharType="end"/>
      </w:r>
      <w:r>
        <w:rPr>
          <w:szCs w:val="22"/>
          <w:lang w:val="en-IE"/>
        </w:rPr>
        <w:t xml:space="preserve">. </w:t>
      </w:r>
      <w:r w:rsidR="008F707E" w:rsidRPr="00212428">
        <w:rPr>
          <w:szCs w:val="22"/>
          <w:lang w:val="en-IE"/>
        </w:rPr>
        <w:t>Generally, the upper two turloughs</w:t>
      </w:r>
      <w:r w:rsidR="00212428" w:rsidRPr="00212428">
        <w:rPr>
          <w:szCs w:val="22"/>
          <w:lang w:val="en-IE"/>
        </w:rPr>
        <w:t xml:space="preserve"> (Blackrock and Coy)</w:t>
      </w:r>
      <w:r w:rsidR="008F707E" w:rsidRPr="00212428">
        <w:rPr>
          <w:szCs w:val="22"/>
          <w:lang w:val="en-IE"/>
        </w:rPr>
        <w:t xml:space="preserve"> showed higher nutrient concentrations than the lower three turloughs. </w:t>
      </w:r>
      <w:r w:rsidR="004A6020">
        <w:rPr>
          <w:szCs w:val="22"/>
          <w:lang w:val="en-IE"/>
        </w:rPr>
        <w:t>T</w:t>
      </w:r>
      <w:r w:rsidR="008F707E" w:rsidRPr="00212428">
        <w:rPr>
          <w:szCs w:val="22"/>
          <w:lang w:val="en-IE"/>
        </w:rPr>
        <w:t xml:space="preserve">he upper turloughs </w:t>
      </w:r>
      <w:r w:rsidR="00732A59">
        <w:rPr>
          <w:szCs w:val="22"/>
          <w:lang w:val="en-IE"/>
        </w:rPr>
        <w:t xml:space="preserve">also </w:t>
      </w:r>
      <w:r w:rsidR="008F707E" w:rsidRPr="00212428">
        <w:rPr>
          <w:szCs w:val="22"/>
          <w:lang w:val="en-IE"/>
        </w:rPr>
        <w:t xml:space="preserve">showed mean </w:t>
      </w:r>
      <w:r w:rsidR="008F707E" w:rsidRPr="00212428">
        <w:rPr>
          <w:szCs w:val="22"/>
          <w:lang w:val="en-IE"/>
        </w:rPr>
        <w:lastRenderedPageBreak/>
        <w:t xml:space="preserve">concentrations greater than those of the </w:t>
      </w:r>
      <w:r w:rsidR="00816944">
        <w:rPr>
          <w:szCs w:val="22"/>
          <w:lang w:val="en-IE"/>
        </w:rPr>
        <w:t xml:space="preserve">SA1 </w:t>
      </w:r>
      <w:r w:rsidR="008F707E" w:rsidRPr="00212428">
        <w:rPr>
          <w:szCs w:val="22"/>
          <w:lang w:val="en-IE"/>
        </w:rPr>
        <w:t>River feeding them (except NO</w:t>
      </w:r>
      <w:r w:rsidR="008F707E" w:rsidRPr="00212428">
        <w:rPr>
          <w:szCs w:val="22"/>
          <w:vertAlign w:val="subscript"/>
          <w:lang w:val="en-IE"/>
        </w:rPr>
        <w:t>3</w:t>
      </w:r>
      <w:r w:rsidR="008F707E" w:rsidRPr="00212428">
        <w:rPr>
          <w:szCs w:val="22"/>
          <w:lang w:val="en-IE"/>
        </w:rPr>
        <w:t xml:space="preserve"> in Coy</w:t>
      </w:r>
      <w:r w:rsidR="004A6020">
        <w:rPr>
          <w:szCs w:val="22"/>
          <w:lang w:val="en-IE"/>
        </w:rPr>
        <w:t>) which</w:t>
      </w:r>
      <w:r w:rsidR="008F707E" w:rsidRPr="00212428">
        <w:rPr>
          <w:szCs w:val="22"/>
          <w:lang w:val="en-IE"/>
        </w:rPr>
        <w:t xml:space="preserve"> suggest that the turloughs </w:t>
      </w:r>
      <w:r w:rsidR="00A0512A" w:rsidRPr="00A0512A">
        <w:rPr>
          <w:szCs w:val="22"/>
          <w:highlight w:val="yellow"/>
          <w:lang w:val="en-IE"/>
        </w:rPr>
        <w:t>are gaining nutrients from additional sources</w:t>
      </w:r>
      <w:r w:rsidR="00A0512A">
        <w:rPr>
          <w:szCs w:val="22"/>
          <w:lang w:val="en-IE"/>
        </w:rPr>
        <w:t xml:space="preserve">. </w:t>
      </w:r>
      <w:r w:rsidR="008F707E" w:rsidRPr="00212428">
        <w:rPr>
          <w:szCs w:val="22"/>
          <w:lang w:val="en-IE"/>
        </w:rPr>
        <w:t xml:space="preserve">This increase in mean nutrient concentration is particularly evident </w:t>
      </w:r>
      <w:r w:rsidR="008F707E" w:rsidRPr="008F707E">
        <w:rPr>
          <w:szCs w:val="22"/>
          <w:lang w:val="en-IE"/>
        </w:rPr>
        <w:t xml:space="preserve">for </w:t>
      </w:r>
      <w:r w:rsidR="00732A59">
        <w:rPr>
          <w:szCs w:val="22"/>
          <w:lang w:val="en-IE"/>
        </w:rPr>
        <w:t xml:space="preserve">TP with Blackrock and Coy turloughs displaying mean TP concentrations exceeding those found in the </w:t>
      </w:r>
      <w:r w:rsidR="00816944">
        <w:rPr>
          <w:szCs w:val="22"/>
          <w:lang w:val="en-IE"/>
        </w:rPr>
        <w:t>SA1</w:t>
      </w:r>
      <w:r w:rsidR="00732A59">
        <w:rPr>
          <w:szCs w:val="22"/>
          <w:lang w:val="en-IE"/>
        </w:rPr>
        <w:t xml:space="preserve"> River by 75% and 65% respectively which can be attributed to three main factors. Firstly</w:t>
      </w:r>
      <w:r w:rsidR="008F707E" w:rsidRPr="00A95D61">
        <w:rPr>
          <w:szCs w:val="22"/>
          <w:lang w:val="en-IE"/>
        </w:rPr>
        <w:t>, both turloughs are actively grazed during the summer months. This would lead to increased nutrient concentrations at the onset of flooding due to</w:t>
      </w:r>
      <w:r w:rsidR="00A95D61">
        <w:rPr>
          <w:szCs w:val="22"/>
          <w:lang w:val="en-IE"/>
        </w:rPr>
        <w:t xml:space="preserve"> the release of soluble P from</w:t>
      </w:r>
      <w:r w:rsidR="008F707E" w:rsidRPr="00A95D61">
        <w:rPr>
          <w:szCs w:val="22"/>
          <w:lang w:val="en-IE"/>
        </w:rPr>
        <w:t xml:space="preserve"> manure deposition</w:t>
      </w:r>
      <w:r w:rsidR="00A95D61" w:rsidRPr="00A95D61">
        <w:rPr>
          <w:szCs w:val="22"/>
          <w:lang w:val="en-IE"/>
        </w:rPr>
        <w:t xml:space="preserve">. </w:t>
      </w:r>
      <w:r w:rsidR="008F707E" w:rsidRPr="00A95D61">
        <w:rPr>
          <w:szCs w:val="22"/>
          <w:lang w:val="en-IE"/>
        </w:rPr>
        <w:t>Secondly</w:t>
      </w:r>
      <w:r w:rsidR="008F707E" w:rsidRPr="008F707E">
        <w:rPr>
          <w:szCs w:val="22"/>
          <w:lang w:val="en-IE"/>
        </w:rPr>
        <w:t>, nutrient concentrations within Blackrock are likely being enhanced by the presence of an abatt</w:t>
      </w:r>
      <w:r w:rsidR="00212718">
        <w:rPr>
          <w:szCs w:val="22"/>
          <w:lang w:val="en-IE"/>
        </w:rPr>
        <w:t xml:space="preserve">oir on its south eastern edge. </w:t>
      </w:r>
      <w:r w:rsidR="008F707E" w:rsidRPr="008F707E">
        <w:rPr>
          <w:szCs w:val="22"/>
          <w:lang w:val="en-IE"/>
        </w:rPr>
        <w:t>Thirdly, the elevated nutrient concentrations (particularly N) could indicate additional flows coming in from the nutrient enriched diffuse sources (</w:t>
      </w:r>
      <w:r w:rsidR="000C62B9">
        <w:rPr>
          <w:szCs w:val="22"/>
          <w:lang w:val="en-IE"/>
        </w:rPr>
        <w:t>groundwater N concentrations found to be double surface water N concentrations</w:t>
      </w:r>
      <w:r w:rsidR="008F707E" w:rsidRPr="008F707E">
        <w:rPr>
          <w:szCs w:val="22"/>
          <w:lang w:val="en-IE"/>
        </w:rPr>
        <w:t xml:space="preserve">). </w:t>
      </w:r>
      <w:r w:rsidR="002C75BA" w:rsidRPr="008F707E">
        <w:rPr>
          <w:szCs w:val="22"/>
          <w:lang w:val="en-IE"/>
        </w:rPr>
        <w:t xml:space="preserve">Another </w:t>
      </w:r>
      <w:r w:rsidR="002C75BA">
        <w:rPr>
          <w:szCs w:val="22"/>
          <w:lang w:val="en-IE"/>
        </w:rPr>
        <w:t xml:space="preserve">important </w:t>
      </w:r>
      <w:r w:rsidR="002C75BA" w:rsidRPr="008F707E">
        <w:rPr>
          <w:szCs w:val="22"/>
          <w:lang w:val="en-IE"/>
        </w:rPr>
        <w:t xml:space="preserve">factor </w:t>
      </w:r>
      <w:r w:rsidR="002C75BA">
        <w:rPr>
          <w:szCs w:val="22"/>
          <w:lang w:val="en-IE"/>
        </w:rPr>
        <w:t>could be</w:t>
      </w:r>
      <w:r w:rsidR="002C75BA" w:rsidRPr="008F707E">
        <w:rPr>
          <w:szCs w:val="22"/>
          <w:lang w:val="en-IE"/>
        </w:rPr>
        <w:t xml:space="preserve"> </w:t>
      </w:r>
      <w:r w:rsidR="00732A59">
        <w:rPr>
          <w:szCs w:val="22"/>
          <w:lang w:val="en-IE"/>
        </w:rPr>
        <w:t xml:space="preserve">an artefact of </w:t>
      </w:r>
      <w:r w:rsidR="002C75BA" w:rsidRPr="008F707E">
        <w:rPr>
          <w:szCs w:val="22"/>
          <w:lang w:val="en-IE"/>
        </w:rPr>
        <w:t xml:space="preserve">the temporal resolution of sampling. </w:t>
      </w:r>
      <w:r w:rsidR="00732A59">
        <w:rPr>
          <w:szCs w:val="22"/>
          <w:lang w:val="en-IE"/>
        </w:rPr>
        <w:t>Monthly sampling of turloughs was deemed to be adequate to characterise the system as water is typically retained in the turloughs for long periods. However, for the rivers, monthly sampling only offers a snapshot of concentrations at the time of sampling. Thus any potential plumes of point source contamination in the rivers could be missed by the river samples but would likely be accounted for in the turlough samples.</w:t>
      </w:r>
    </w:p>
    <w:p w:rsidR="009F5BD0" w:rsidRPr="008F707E" w:rsidRDefault="009F5BD0" w:rsidP="008F707E">
      <w:pPr>
        <w:rPr>
          <w:szCs w:val="22"/>
          <w:lang w:val="en-IE"/>
        </w:rPr>
      </w:pPr>
    </w:p>
    <w:p w:rsidR="00732A59" w:rsidRDefault="00732A59" w:rsidP="00732A59">
      <w:pPr>
        <w:rPr>
          <w:szCs w:val="22"/>
          <w:lang w:val="en-IE"/>
        </w:rPr>
      </w:pPr>
      <w:r>
        <w:rPr>
          <w:szCs w:val="22"/>
          <w:lang w:val="en-IE"/>
        </w:rPr>
        <w:t xml:space="preserve">The lower mean nutrient concentrations in Coole, Garryland and Caherglassaun turloughs tended to reflect the concentrations of the rivers feeding them. For example, mean concentrations of TN and TP in Coole turlough were within ±1% of their primary source of water, </w:t>
      </w:r>
      <w:r w:rsidR="00816944">
        <w:rPr>
          <w:szCs w:val="22"/>
          <w:lang w:val="en-IE"/>
        </w:rPr>
        <w:t>the SA3 River</w:t>
      </w:r>
      <w:r>
        <w:rPr>
          <w:szCs w:val="22"/>
          <w:lang w:val="en-IE"/>
        </w:rPr>
        <w:t>. Nutrient concentrations in Caherglassaun show similar values to Coole indicating a direct relationship between these turloughs. However, Garryland turlough displays lower nutrient concentrations, most likely due to the influx of water from the</w:t>
      </w:r>
      <w:r w:rsidR="002B3942">
        <w:rPr>
          <w:szCs w:val="22"/>
          <w:lang w:val="en-IE"/>
        </w:rPr>
        <w:t xml:space="preserve"> southern</w:t>
      </w:r>
      <w:r>
        <w:rPr>
          <w:szCs w:val="22"/>
          <w:lang w:val="en-IE"/>
        </w:rPr>
        <w:t xml:space="preserve"> Cloonteen catchment as discussed previously. </w:t>
      </w:r>
    </w:p>
    <w:p w:rsidR="008F707E" w:rsidRPr="00632A4F" w:rsidRDefault="008F707E" w:rsidP="008F707E">
      <w:pPr>
        <w:rPr>
          <w:szCs w:val="22"/>
        </w:rPr>
      </w:pPr>
    </w:p>
    <w:p w:rsidR="006A6264" w:rsidRPr="00D62D66" w:rsidRDefault="00732A59" w:rsidP="00B37FB8">
      <w:pPr>
        <w:rPr>
          <w:lang w:val="en-IE"/>
        </w:rPr>
      </w:pPr>
      <w:r w:rsidRPr="00D62D66">
        <w:rPr>
          <w:lang w:val="en-IE"/>
        </w:rPr>
        <w:t>Nutrient loads in the turloughs were calculated by combining the turlough volume data with the nutrient concentration data, as shown across the 2011/2012 season in</w:t>
      </w:r>
      <w:r w:rsidR="00486483" w:rsidRPr="00D62D66">
        <w:rPr>
          <w:lang w:val="en-IE"/>
        </w:rPr>
        <w:t xml:space="preserve"> </w:t>
      </w:r>
      <w:r w:rsidR="00E40475" w:rsidRPr="00D62D66">
        <w:rPr>
          <w:lang w:val="en-IE"/>
        </w:rPr>
        <w:fldChar w:fldCharType="begin"/>
      </w:r>
      <w:r w:rsidR="00E40475" w:rsidRPr="00D62D66">
        <w:rPr>
          <w:lang w:val="en-IE"/>
        </w:rPr>
        <w:instrText xml:space="preserve"> REF _Ref414829291 \h </w:instrText>
      </w:r>
      <w:r w:rsidR="00E40475" w:rsidRPr="00D62D66">
        <w:rPr>
          <w:lang w:val="en-IE"/>
        </w:rPr>
      </w:r>
      <w:r w:rsidR="00E40475" w:rsidRPr="00D62D66">
        <w:rPr>
          <w:lang w:val="en-IE"/>
        </w:rPr>
        <w:fldChar w:fldCharType="separate"/>
      </w:r>
      <w:r w:rsidR="00E40475" w:rsidRPr="00D62D66">
        <w:t xml:space="preserve">Figure </w:t>
      </w:r>
      <w:r w:rsidR="00E40475" w:rsidRPr="00D62D66">
        <w:rPr>
          <w:noProof/>
        </w:rPr>
        <w:t>7</w:t>
      </w:r>
      <w:r w:rsidR="00E40475" w:rsidRPr="00D62D66">
        <w:rPr>
          <w:lang w:val="en-IE"/>
        </w:rPr>
        <w:fldChar w:fldCharType="end"/>
      </w:r>
      <w:r w:rsidR="00D62D66" w:rsidRPr="00D62D66">
        <w:rPr>
          <w:lang w:val="en-IE"/>
        </w:rPr>
        <w:t xml:space="preserve"> (for selected sites)</w:t>
      </w:r>
      <w:r w:rsidR="00E40475" w:rsidRPr="00D62D66">
        <w:rPr>
          <w:lang w:val="en-IE"/>
        </w:rPr>
        <w:t xml:space="preserve">. </w:t>
      </w:r>
      <w:r w:rsidRPr="00D62D66">
        <w:rPr>
          <w:lang w:val="en-IE"/>
        </w:rPr>
        <w:t>The general variability of nutrients within the turloughs is evident, although, in a number of cases, a pattern can be seen whereby the nutrient load within the turlough starts to drop before the turlough water level begins to drop. This pattern might be expected in flow-through turloughs but</w:t>
      </w:r>
      <w:r w:rsidR="00D62D66" w:rsidRPr="00D62D66">
        <w:rPr>
          <w:lang w:val="en-IE"/>
        </w:rPr>
        <w:t xml:space="preserve">, as can be seen in </w:t>
      </w:r>
      <w:r w:rsidR="00D62D66" w:rsidRPr="00D62D66">
        <w:rPr>
          <w:lang w:val="en-IE"/>
        </w:rPr>
        <w:fldChar w:fldCharType="begin"/>
      </w:r>
      <w:r w:rsidR="00D62D66" w:rsidRPr="00D62D66">
        <w:rPr>
          <w:lang w:val="en-IE"/>
        </w:rPr>
        <w:instrText xml:space="preserve"> REF _Ref414829291 \h </w:instrText>
      </w:r>
      <w:r w:rsidR="00D62D66" w:rsidRPr="00D62D66">
        <w:rPr>
          <w:lang w:val="en-IE"/>
        </w:rPr>
      </w:r>
      <w:r w:rsidR="00D62D66" w:rsidRPr="00D62D66">
        <w:rPr>
          <w:lang w:val="en-IE"/>
        </w:rPr>
        <w:fldChar w:fldCharType="separate"/>
      </w:r>
      <w:r w:rsidR="00D62D66" w:rsidRPr="00D62D66">
        <w:t xml:space="preserve">Figure </w:t>
      </w:r>
      <w:r w:rsidR="00D62D66" w:rsidRPr="00D62D66">
        <w:rPr>
          <w:noProof/>
        </w:rPr>
        <w:t>7</w:t>
      </w:r>
      <w:r w:rsidR="00D62D66" w:rsidRPr="00D62D66">
        <w:rPr>
          <w:lang w:val="en-IE"/>
        </w:rPr>
        <w:fldChar w:fldCharType="end"/>
      </w:r>
      <w:r w:rsidR="00D62D66" w:rsidRPr="00D62D66">
        <w:rPr>
          <w:lang w:val="en-IE"/>
        </w:rPr>
        <w:t xml:space="preserve"> </w:t>
      </w:r>
      <w:r w:rsidRPr="00D62D66">
        <w:rPr>
          <w:lang w:val="en-IE"/>
        </w:rPr>
        <w:t xml:space="preserve"> the patte</w:t>
      </w:r>
      <w:r w:rsidR="00D62D66" w:rsidRPr="00D62D66">
        <w:rPr>
          <w:lang w:val="en-IE"/>
        </w:rPr>
        <w:t xml:space="preserve">rn is also seen in Coy (for P) and </w:t>
      </w:r>
      <w:r w:rsidRPr="00D62D66">
        <w:rPr>
          <w:lang w:val="en-IE"/>
        </w:rPr>
        <w:t xml:space="preserve">Caherglassaun (N) turloughs which are known to operate as surcharge tanks. The comparison between the expected behaviour and the observed behaviour is discussed further in Section </w:t>
      </w:r>
      <w:r w:rsidRPr="00D62D66">
        <w:rPr>
          <w:lang w:val="en-IE"/>
        </w:rPr>
        <w:fldChar w:fldCharType="begin"/>
      </w:r>
      <w:r w:rsidRPr="00D62D66">
        <w:rPr>
          <w:lang w:val="en-IE"/>
        </w:rPr>
        <w:instrText xml:space="preserve"> REF _Ref386806779 \r \h </w:instrText>
      </w:r>
      <w:r w:rsidRPr="00D62D66">
        <w:rPr>
          <w:lang w:val="en-IE"/>
        </w:rPr>
      </w:r>
      <w:r w:rsidRPr="00D62D66">
        <w:rPr>
          <w:lang w:val="en-IE"/>
        </w:rPr>
        <w:fldChar w:fldCharType="separate"/>
      </w:r>
      <w:r w:rsidR="00E40475" w:rsidRPr="00D62D66">
        <w:rPr>
          <w:lang w:val="en-IE"/>
        </w:rPr>
        <w:t>4.3.1</w:t>
      </w:r>
      <w:r w:rsidRPr="00D62D66">
        <w:rPr>
          <w:lang w:val="en-IE"/>
        </w:rPr>
        <w:fldChar w:fldCharType="end"/>
      </w:r>
      <w:r w:rsidRPr="00D62D66">
        <w:rPr>
          <w:lang w:val="en-IE"/>
        </w:rPr>
        <w:t>.</w:t>
      </w:r>
    </w:p>
    <w:p w:rsidR="00294945" w:rsidRPr="001C0B37" w:rsidRDefault="00CF5B1A" w:rsidP="0048683C">
      <w:pPr>
        <w:pStyle w:val="Heading3"/>
        <w:rPr>
          <w:lang w:val="en-IE"/>
        </w:rPr>
      </w:pPr>
      <w:r>
        <w:lastRenderedPageBreak/>
        <w:t>Groundwater</w:t>
      </w:r>
    </w:p>
    <w:p w:rsidR="00484475" w:rsidRDefault="00212718" w:rsidP="00775D7F">
      <w:pPr>
        <w:rPr>
          <w:szCs w:val="22"/>
        </w:rPr>
      </w:pPr>
      <w:r>
        <w:rPr>
          <w:szCs w:val="22"/>
          <w:lang w:val="en-IE"/>
        </w:rPr>
        <w:t>The results obtained from boreholes within the Gort Lowlands N showed a wide range of recorded results for N (0.2-10.4 mg/l TN), although the mean concentrations at each borehole across the catchment are within a similar range (between 1.2 and 3.3 mg/l). P showed a greater range of measured results (0-</w:t>
      </w:r>
      <w:r w:rsidR="00496F71">
        <w:rPr>
          <w:szCs w:val="22"/>
          <w:lang w:val="en-IE"/>
        </w:rPr>
        <w:t>0.</w:t>
      </w:r>
      <w:r w:rsidR="00FE6A45">
        <w:rPr>
          <w:szCs w:val="22"/>
          <w:lang w:val="en-IE"/>
        </w:rPr>
        <w:t>58 m</w:t>
      </w:r>
      <w:r>
        <w:rPr>
          <w:szCs w:val="22"/>
          <w:lang w:val="en-IE"/>
        </w:rPr>
        <w:t xml:space="preserve">g/l TP) but more significantly, the mean concentrations at each borehole showed large differences (between </w:t>
      </w:r>
      <w:r w:rsidR="00496F71">
        <w:rPr>
          <w:szCs w:val="22"/>
          <w:lang w:val="en-IE"/>
        </w:rPr>
        <w:t>0.00</w:t>
      </w:r>
      <w:r>
        <w:rPr>
          <w:szCs w:val="22"/>
          <w:lang w:val="en-IE"/>
        </w:rPr>
        <w:t>5</w:t>
      </w:r>
      <w:r w:rsidR="00496F71">
        <w:rPr>
          <w:szCs w:val="22"/>
          <w:lang w:val="en-IE"/>
        </w:rPr>
        <w:t xml:space="preserve"> </w:t>
      </w:r>
      <w:r>
        <w:rPr>
          <w:szCs w:val="22"/>
          <w:lang w:val="en-IE"/>
        </w:rPr>
        <w:t xml:space="preserve">and </w:t>
      </w:r>
      <w:r w:rsidR="00496F71">
        <w:rPr>
          <w:szCs w:val="22"/>
          <w:lang w:val="en-IE"/>
        </w:rPr>
        <w:t>0.072 m</w:t>
      </w:r>
      <w:r>
        <w:rPr>
          <w:szCs w:val="22"/>
          <w:lang w:val="en-IE"/>
        </w:rPr>
        <w:t xml:space="preserve">g/l TP). These results indicate that N was able to reach the groundwater relatively easily and due to its mobility, more or less equalised across the catchment. P, on the other hand, being much less mobile, would only enter the groundwater in areas of extreme vulnerability (i.e. through shallow and/or permeable </w:t>
      </w:r>
      <w:proofErr w:type="spellStart"/>
      <w:r>
        <w:rPr>
          <w:szCs w:val="22"/>
          <w:lang w:val="en-IE"/>
        </w:rPr>
        <w:t>subsoils</w:t>
      </w:r>
      <w:proofErr w:type="spellEnd"/>
      <w:r>
        <w:rPr>
          <w:szCs w:val="22"/>
          <w:lang w:val="en-IE"/>
        </w:rPr>
        <w:t xml:space="preserve">); however, once in the conduit system, P is known to be transported conservatively with negligible attenuation </w:t>
      </w:r>
      <w:r>
        <w:rPr>
          <w:szCs w:val="22"/>
          <w:lang w:val="en-IE"/>
        </w:rPr>
        <w:fldChar w:fldCharType="begin">
          <w:fldData xml:space="preserve">PEVuZE5vdGU+PENpdGU+PEF1dGhvcj5NZWxsYW5kZXI8L0F1dGhvcj48WWVhcj4yMDEzPC9ZZWFy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</w:fldData>
        </w:fldChar>
      </w:r>
      <w:r w:rsidR="003770AA">
        <w:rPr>
          <w:szCs w:val="22"/>
          <w:lang w:val="en-IE"/>
        </w:rPr>
        <w:instrText xml:space="preserve"> ADDIN EN.CITE </w:instrText>
      </w:r>
      <w:r w:rsidR="003770AA">
        <w:rPr>
          <w:szCs w:val="22"/>
          <w:lang w:val="en-IE"/>
        </w:rPr>
        <w:fldChar w:fldCharType="begin">
          <w:fldData xml:space="preserve">PEVuZE5vdGU+PENpdGU+PEF1dGhvcj5NZWxsYW5kZXI8L0F1dGhvcj48WWVhcj4yMDEzPC9ZZWFy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</w:fldData>
        </w:fldChar>
      </w:r>
      <w:r w:rsidR="003770AA">
        <w:rPr>
          <w:szCs w:val="22"/>
          <w:lang w:val="en-IE"/>
        </w:rPr>
        <w:instrText xml:space="preserve"> ADDIN EN.CITE.DATA </w:instrText>
      </w:r>
      <w:r w:rsidR="003770AA">
        <w:rPr>
          <w:szCs w:val="22"/>
          <w:lang w:val="en-IE"/>
        </w:rPr>
      </w:r>
      <w:r w:rsidR="003770AA">
        <w:rPr>
          <w:szCs w:val="22"/>
          <w:lang w:val="en-IE"/>
        </w:rPr>
        <w:fldChar w:fldCharType="end"/>
      </w:r>
      <w:r>
        <w:rPr>
          <w:szCs w:val="22"/>
          <w:lang w:val="en-IE"/>
        </w:rPr>
      </w:r>
      <w:r>
        <w:rPr>
          <w:szCs w:val="22"/>
          <w:lang w:val="en-IE"/>
        </w:rPr>
        <w:fldChar w:fldCharType="separate"/>
      </w:r>
      <w:r w:rsidR="003770AA">
        <w:rPr>
          <w:noProof/>
          <w:szCs w:val="22"/>
          <w:lang w:val="en-IE"/>
        </w:rPr>
        <w:t>(</w:t>
      </w:r>
      <w:hyperlink w:anchor="_ENREF_25" w:tooltip="Mellander, 2013 #458" w:history="1">
        <w:r w:rsidR="006B35EC">
          <w:rPr>
            <w:noProof/>
            <w:szCs w:val="22"/>
            <w:lang w:val="en-IE"/>
          </w:rPr>
          <w:t>Mellander et al., 2013</w:t>
        </w:r>
      </w:hyperlink>
      <w:r w:rsidR="003770AA">
        <w:rPr>
          <w:noProof/>
          <w:szCs w:val="22"/>
          <w:lang w:val="en-IE"/>
        </w:rPr>
        <w:t>;</w:t>
      </w:r>
      <w:hyperlink w:anchor="_ENREF_20" w:tooltip="Kilroy, 2005 #443" w:history="1">
        <w:r w:rsidR="006B35EC">
          <w:rPr>
            <w:noProof/>
            <w:szCs w:val="22"/>
            <w:lang w:val="en-IE"/>
          </w:rPr>
          <w:t>Kilroy and Coxon, 2005</w:t>
        </w:r>
      </w:hyperlink>
      <w:r w:rsidR="003770AA">
        <w:rPr>
          <w:noProof/>
          <w:szCs w:val="22"/>
          <w:lang w:val="en-IE"/>
        </w:rPr>
        <w:t>)</w:t>
      </w:r>
      <w:r>
        <w:rPr>
          <w:szCs w:val="22"/>
          <w:lang w:val="en-IE"/>
        </w:rPr>
        <w:fldChar w:fldCharType="end"/>
      </w:r>
      <w:r>
        <w:rPr>
          <w:szCs w:val="22"/>
          <w:lang w:val="en-IE"/>
        </w:rPr>
        <w:t xml:space="preserve">. </w:t>
      </w:r>
    </w:p>
    <w:p w:rsidR="00775D7F" w:rsidRDefault="00775D7F" w:rsidP="00DB6F78">
      <w:pPr>
        <w:rPr>
          <w:szCs w:val="22"/>
          <w:lang w:val="en-IE"/>
        </w:rPr>
      </w:pPr>
    </w:p>
    <w:p w:rsidR="00DB6F78" w:rsidRDefault="00DB6F78" w:rsidP="00DB6F78">
      <w:pPr>
        <w:rPr>
          <w:szCs w:val="22"/>
          <w:lang w:val="en-IE"/>
        </w:rPr>
      </w:pPr>
      <w:r>
        <w:rPr>
          <w:szCs w:val="22"/>
          <w:lang w:val="en-IE"/>
        </w:rPr>
        <w:t xml:space="preserve">Mean groundwater concentrations across the catchment were recorded as 2.30 mg/l and </w:t>
      </w:r>
      <w:r w:rsidR="00496F71">
        <w:rPr>
          <w:szCs w:val="22"/>
          <w:lang w:val="en-IE"/>
        </w:rPr>
        <w:t>0.031</w:t>
      </w:r>
      <w:r w:rsidR="00FE6A45">
        <w:rPr>
          <w:szCs w:val="22"/>
          <w:lang w:val="en-IE"/>
        </w:rPr>
        <w:t xml:space="preserve"> m</w:t>
      </w:r>
      <w:r>
        <w:rPr>
          <w:szCs w:val="22"/>
          <w:lang w:val="en-IE"/>
        </w:rPr>
        <w:t>g/l for TN and TP respectively (</w:t>
      </w:r>
      <w:r>
        <w:rPr>
          <w:szCs w:val="22"/>
          <w:lang w:val="en-IE"/>
        </w:rPr>
        <w:fldChar w:fldCharType="begin"/>
      </w:r>
      <w:r>
        <w:rPr>
          <w:szCs w:val="22"/>
          <w:lang w:val="en-IE"/>
        </w:rPr>
        <w:instrText xml:space="preserve"> REF _Ref385523476 \h  \* MERGEFORMAT </w:instrText>
      </w:r>
      <w:r>
        <w:rPr>
          <w:szCs w:val="22"/>
          <w:lang w:val="en-IE"/>
        </w:rPr>
      </w:r>
      <w:r>
        <w:rPr>
          <w:szCs w:val="22"/>
          <w:lang w:val="en-IE"/>
        </w:rPr>
        <w:fldChar w:fldCharType="separate"/>
      </w:r>
      <w:r w:rsidR="00E40475" w:rsidRPr="00E40475">
        <w:rPr>
          <w:szCs w:val="22"/>
        </w:rPr>
        <w:t xml:space="preserve">Table </w:t>
      </w:r>
      <w:r w:rsidR="00E40475" w:rsidRPr="00E40475">
        <w:rPr>
          <w:noProof/>
          <w:szCs w:val="22"/>
        </w:rPr>
        <w:t>1</w:t>
      </w:r>
      <w:r>
        <w:rPr>
          <w:szCs w:val="22"/>
          <w:lang w:val="en-IE"/>
        </w:rPr>
        <w:fldChar w:fldCharType="end"/>
      </w:r>
      <w:r>
        <w:rPr>
          <w:szCs w:val="22"/>
          <w:lang w:val="en-IE"/>
        </w:rPr>
        <w:t>) with overall mean N concentrations being almost double those of surface water bodies while the overall mean P concentrations of the turloughs and groundwater were shown to be similar.</w:t>
      </w:r>
    </w:p>
    <w:p w:rsidR="001A5517" w:rsidRPr="00CF5B1A" w:rsidRDefault="001A5517" w:rsidP="00CF5B1A"/>
    <w:p w:rsidR="00CF5B1A" w:rsidRDefault="00CF5B1A" w:rsidP="00CF5B1A">
      <w:pPr>
        <w:pStyle w:val="Heading3"/>
      </w:pPr>
      <w:r>
        <w:t>Kinvara Springs</w:t>
      </w:r>
    </w:p>
    <w:p w:rsidR="00DB6F78" w:rsidRDefault="00DB6F78" w:rsidP="00DB6F78">
      <w:pPr>
        <w:rPr>
          <w:szCs w:val="22"/>
          <w:lang w:val="en-IE"/>
        </w:rPr>
      </w:pPr>
      <w:r>
        <w:rPr>
          <w:szCs w:val="22"/>
          <w:lang w:val="en-IE"/>
        </w:rPr>
        <w:t xml:space="preserve">Mean TN concentration for KW was measured as 1.05 mg/l compared to the mean TN at KE of 1.99 mg/l. The N concentrations at KW reflected the mean concentrations of the turloughs (1.12 mg/l TN) while the higher mean concentration of KE indicated the greater proportion of diffuse flow (with its higher TN) emerging at this spring. Little difference was observed for P between KW and KE with concentrations of </w:t>
      </w:r>
      <w:r w:rsidR="007970F1">
        <w:rPr>
          <w:szCs w:val="22"/>
          <w:lang w:val="en-IE"/>
        </w:rPr>
        <w:t>0.023</w:t>
      </w:r>
      <w:r>
        <w:rPr>
          <w:szCs w:val="22"/>
          <w:lang w:val="en-IE"/>
        </w:rPr>
        <w:t xml:space="preserve"> </w:t>
      </w:r>
      <w:r w:rsidR="00FE6A45">
        <w:rPr>
          <w:szCs w:val="22"/>
          <w:lang w:val="en-IE"/>
        </w:rPr>
        <w:t>m</w:t>
      </w:r>
      <w:r>
        <w:rPr>
          <w:szCs w:val="22"/>
          <w:lang w:val="en-IE"/>
        </w:rPr>
        <w:t xml:space="preserve">g/l and </w:t>
      </w:r>
      <w:r w:rsidR="007970F1">
        <w:rPr>
          <w:szCs w:val="22"/>
          <w:lang w:val="en-IE"/>
        </w:rPr>
        <w:t>0.0</w:t>
      </w:r>
      <w:r>
        <w:rPr>
          <w:szCs w:val="22"/>
          <w:lang w:val="en-IE"/>
        </w:rPr>
        <w:t xml:space="preserve">24 </w:t>
      </w:r>
      <w:r w:rsidR="00FE6A45">
        <w:rPr>
          <w:szCs w:val="22"/>
          <w:lang w:val="en-IE"/>
        </w:rPr>
        <w:t>m</w:t>
      </w:r>
      <w:r>
        <w:rPr>
          <w:szCs w:val="22"/>
          <w:lang w:val="en-IE"/>
        </w:rPr>
        <w:t xml:space="preserve">g/l respectively (TP). P concentrations at the springs were among the lowest mean concentrations found within the catchment suggesting the loss of P as water moves through the karst system. These nutrient concentrations are in accordance with the findings of </w:t>
      </w:r>
      <w:hyperlink w:anchor="_ENREF_37" w:tooltip="Smith, 2012 #386" w:history="1">
        <w:r w:rsidR="006B35EC" w:rsidRPr="00DB6F78">
          <w:fldChar w:fldCharType="begin"/>
        </w:r>
        <w:r w:rsidR="006B35EC" w:rsidRPr="00DB6F78">
          <w:instrText xml:space="preserve"> ADDIN EN.CITE &lt;EndNote&gt;&lt;Cite AuthorYear="1"&gt;&lt;Author&gt;Smith&lt;/Author&gt;&lt;Year&gt;2012&lt;/Year&gt;&lt;RecNum&gt;386&lt;/RecNum&gt;&lt;DisplayText&gt;Smith and Cave (2012)&lt;/DisplayText&gt;&lt;record&gt;&lt;rec-number&gt;386&lt;/rec-number&gt;&lt;foreign-keys&gt;&lt;key app="EN" db-id="dswvr2vdivtsvfepswzvft9gtsxe5zxfaavp" timestamp="1364669700"&gt;386&lt;/key&gt;&lt;/foreign-keys&gt;&lt;ref-type name="Journal Article"&gt;17&lt;/ref-type&gt;&lt;contributors&gt;&lt;authors&gt;&lt;author&gt;Smith, A. M.&lt;/author&gt;&lt;author&gt;Cave, R. R.&lt;/author&gt;&lt;/authors&gt;&lt;/contributors&gt;&lt;titles&gt;&lt;title&gt;Influence of fresh water, nutrients and DOC in two submarine-groundwater-fed estuaries on the west of Ireland&lt;/title&gt;&lt;secondary-title&gt;Science of The Total Environment&lt;/secondary-title&gt;&lt;/titles&gt;&lt;periodical&gt;&lt;full-title&gt;Science of The Total Environment&lt;/full-title&gt;&lt;/periodical&gt;&lt;pages&gt;260-270&lt;/pages&gt;&lt;volume&gt;438&lt;/volume&gt;&lt;number&gt;0&lt;/number&gt;&lt;keywords&gt;&lt;keyword&gt;Submarine groundwater discharge&lt;/keyword&gt;&lt;keyword&gt;Nutrients&lt;/keyword&gt;&lt;keyword&gt;Coastal processes&lt;/keyword&gt;&lt;keyword&gt;DOC&lt;/keyword&gt;&lt;keyword&gt;Galway Bay&lt;/keyword&gt;&lt;/keywords&gt;&lt;dates&gt;&lt;year&gt;2012&lt;/year&gt;&lt;pub-dates&gt;&lt;date&gt;11/1/&lt;/date&gt;&lt;/pub-dates&gt;&lt;/dates&gt;&lt;isbn&gt;0048-9697&lt;/isbn&gt;&lt;urls&gt;&lt;related-urls&gt;&lt;url&gt;http://www.sciencedirect.com/science/article/pii/S0048969712010492&lt;/url&gt;&lt;/related-urls&gt;&lt;/urls&gt;&lt;electronic-resource-num&gt;http://dx.doi.org/10.1016/j.scitotenv.2012.07.094&lt;/electronic-resource-num&gt;&lt;/record&gt;&lt;/Cite&gt;&lt;/EndNote&gt;</w:instrText>
        </w:r>
        <w:r w:rsidR="006B35EC" w:rsidRPr="00DB6F78">
          <w:fldChar w:fldCharType="separate"/>
        </w:r>
        <w:r w:rsidR="006B35EC" w:rsidRPr="00DB6F78">
          <w:t>Smith and Cave (2012)</w:t>
        </w:r>
        <w:r w:rsidR="006B35EC" w:rsidRPr="00DB6F78">
          <w:fldChar w:fldCharType="end"/>
        </w:r>
      </w:hyperlink>
      <w:r>
        <w:rPr>
          <w:szCs w:val="22"/>
          <w:lang w:val="en-IE"/>
        </w:rPr>
        <w:t xml:space="preserve"> who suggest that Kinvara Bay is a source of N to the greater Galway Bay.</w:t>
      </w:r>
    </w:p>
    <w:p w:rsidR="00201E9D" w:rsidRPr="001445E8" w:rsidRDefault="00201E9D" w:rsidP="00CF5B1A">
      <w:pPr>
        <w:rPr>
          <w:szCs w:val="22"/>
        </w:rPr>
      </w:pPr>
    </w:p>
    <w:p w:rsidR="00770819" w:rsidRPr="00B00949" w:rsidRDefault="00DB6F78" w:rsidP="009158ED">
      <w:pPr>
        <w:rPr>
          <w:szCs w:val="22"/>
          <w:lang w:val="en-IE"/>
        </w:rPr>
      </w:pPr>
      <w:r>
        <w:rPr>
          <w:szCs w:val="22"/>
          <w:lang w:val="en-IE"/>
        </w:rPr>
        <w:t>The nutrient loads leaving the Gort Lowlands system</w:t>
      </w:r>
      <w:r w:rsidR="00212718">
        <w:rPr>
          <w:szCs w:val="22"/>
          <w:lang w:val="en-IE"/>
        </w:rPr>
        <w:t xml:space="preserve"> and discharging into the sea</w:t>
      </w:r>
      <w:r>
        <w:rPr>
          <w:szCs w:val="22"/>
          <w:lang w:val="en-IE"/>
        </w:rPr>
        <w:t xml:space="preserve"> (see Figure 10) were calculated by combining the mean daily </w:t>
      </w:r>
      <w:r w:rsidRPr="00B00949">
        <w:rPr>
          <w:szCs w:val="22"/>
          <w:lang w:val="en-IE"/>
        </w:rPr>
        <w:t xml:space="preserve">outflow from KW (using the results from the hydraulic model simulations which also account for temporal tidal effects) with the appropriate nutrient concentration data. The average daily TN load was calculated as </w:t>
      </w:r>
      <w:r w:rsidR="00C60F11" w:rsidRPr="00B00949">
        <w:rPr>
          <w:szCs w:val="22"/>
          <w:lang w:val="en-IE"/>
        </w:rPr>
        <w:t>914</w:t>
      </w:r>
      <w:r w:rsidRPr="00B00949">
        <w:rPr>
          <w:szCs w:val="22"/>
          <w:lang w:val="en-IE"/>
        </w:rPr>
        <w:t xml:space="preserve"> kg/day with a </w:t>
      </w:r>
      <w:r w:rsidRPr="00B00949">
        <w:rPr>
          <w:szCs w:val="22"/>
          <w:lang w:val="en-IE"/>
        </w:rPr>
        <w:lastRenderedPageBreak/>
        <w:t xml:space="preserve">measured range of </w:t>
      </w:r>
      <w:r w:rsidR="00C60F11" w:rsidRPr="00B00949">
        <w:rPr>
          <w:szCs w:val="22"/>
          <w:lang w:val="en-IE"/>
        </w:rPr>
        <w:t>250</w:t>
      </w:r>
      <w:r w:rsidRPr="00B00949">
        <w:rPr>
          <w:szCs w:val="22"/>
          <w:lang w:val="en-IE"/>
        </w:rPr>
        <w:t>-</w:t>
      </w:r>
      <w:r w:rsidR="00C60F11" w:rsidRPr="00B00949">
        <w:rPr>
          <w:szCs w:val="22"/>
          <w:lang w:val="en-IE"/>
        </w:rPr>
        <w:t>2150</w:t>
      </w:r>
      <w:r w:rsidRPr="00B00949">
        <w:rPr>
          <w:szCs w:val="22"/>
          <w:lang w:val="en-IE"/>
        </w:rPr>
        <w:t xml:space="preserve"> kg/day. The average daily TP load was </w:t>
      </w:r>
      <w:r w:rsidR="00C60F11" w:rsidRPr="00B00949">
        <w:rPr>
          <w:szCs w:val="22"/>
          <w:lang w:val="en-IE"/>
        </w:rPr>
        <w:t>20</w:t>
      </w:r>
      <w:r w:rsidRPr="00B00949">
        <w:rPr>
          <w:szCs w:val="22"/>
          <w:lang w:val="en-IE"/>
        </w:rPr>
        <w:t xml:space="preserve"> kg/day with a measured range of </w:t>
      </w:r>
      <w:r w:rsidR="00C60F11" w:rsidRPr="00B00949">
        <w:rPr>
          <w:szCs w:val="22"/>
          <w:lang w:val="en-IE"/>
        </w:rPr>
        <w:t>9.1</w:t>
      </w:r>
      <w:r w:rsidRPr="00B00949">
        <w:rPr>
          <w:szCs w:val="22"/>
          <w:lang w:val="en-IE"/>
        </w:rPr>
        <w:t>-</w:t>
      </w:r>
      <w:r w:rsidR="00C60F11" w:rsidRPr="00B00949">
        <w:rPr>
          <w:szCs w:val="22"/>
          <w:lang w:val="en-IE"/>
        </w:rPr>
        <w:t>28.4</w:t>
      </w:r>
      <w:r w:rsidRPr="00B00949">
        <w:rPr>
          <w:szCs w:val="22"/>
          <w:lang w:val="en-IE"/>
        </w:rPr>
        <w:t xml:space="preserve"> kg/day. </w:t>
      </w:r>
    </w:p>
    <w:p w:rsidR="00BE70CB" w:rsidRPr="006A6264" w:rsidRDefault="00BE70CB" w:rsidP="006A6264">
      <w:pPr>
        <w:rPr>
          <w:lang w:val="en-IE"/>
        </w:rPr>
      </w:pPr>
    </w:p>
    <w:p w:rsidR="00785E76" w:rsidRDefault="00785E76" w:rsidP="00785E76">
      <w:pPr>
        <w:pStyle w:val="Heading2"/>
        <w:rPr>
          <w:lang w:val="en-IE"/>
        </w:rPr>
      </w:pPr>
      <w:bookmarkStart w:id="4" w:name="_Ref386797570"/>
      <w:r>
        <w:rPr>
          <w:lang w:val="en-IE"/>
        </w:rPr>
        <w:t>Nutrient Modelling</w:t>
      </w:r>
      <w:bookmarkEnd w:id="4"/>
    </w:p>
    <w:p w:rsidR="00A830B7" w:rsidRDefault="00FD5750" w:rsidP="00F559C6">
      <w:pPr>
        <w:rPr>
          <w:szCs w:val="22"/>
          <w:lang w:val="en-IE"/>
        </w:rPr>
      </w:pPr>
      <w:r>
        <w:rPr>
          <w:szCs w:val="22"/>
          <w:lang w:val="en-IE"/>
        </w:rPr>
        <w:t xml:space="preserve">The hydraulic model was used to simulate a mass balance of the nutrients through the karst system acting as conservative tracers. These results have then been compared against the field sampling results from the </w:t>
      </w:r>
      <w:r w:rsidRPr="008E0763">
        <w:rPr>
          <w:szCs w:val="22"/>
          <w:lang w:val="en-IE"/>
        </w:rPr>
        <w:t xml:space="preserve">turloughs from which insights have been made as to the mobility and attenuation behaviour of these nutrients. </w:t>
      </w:r>
      <w:r w:rsidR="000F5531" w:rsidRPr="008E0763">
        <w:rPr>
          <w:szCs w:val="22"/>
          <w:lang w:val="en-IE"/>
        </w:rPr>
        <w:t xml:space="preserve">The contribution of nutrients from the diffuse portion of the catchment </w:t>
      </w:r>
      <w:r w:rsidR="005A44DC">
        <w:rPr>
          <w:szCs w:val="22"/>
          <w:lang w:val="en-IE"/>
        </w:rPr>
        <w:t>was</w:t>
      </w:r>
      <w:r w:rsidR="005A44DC" w:rsidRPr="008E0763">
        <w:rPr>
          <w:szCs w:val="22"/>
          <w:lang w:val="en-IE"/>
        </w:rPr>
        <w:t xml:space="preserve"> </w:t>
      </w:r>
      <w:r w:rsidR="000F5531" w:rsidRPr="008E0763">
        <w:rPr>
          <w:szCs w:val="22"/>
          <w:lang w:val="en-IE"/>
        </w:rPr>
        <w:t xml:space="preserve">also estimated by combining groundwater nutrient concentrations with diffuse discharge as estimated by the model using subcatchments.  </w:t>
      </w:r>
    </w:p>
    <w:p w:rsidR="00097143" w:rsidRPr="00097143" w:rsidRDefault="00097143" w:rsidP="00F559C6">
      <w:pPr>
        <w:rPr>
          <w:szCs w:val="22"/>
          <w:lang w:val="en-IE"/>
        </w:rPr>
      </w:pPr>
    </w:p>
    <w:p w:rsidR="009B3CD5" w:rsidRDefault="00A830B7" w:rsidP="009B3CD5">
      <w:pPr>
        <w:pStyle w:val="Heading3"/>
        <w:rPr>
          <w:lang w:val="en-IE"/>
        </w:rPr>
      </w:pPr>
      <w:bookmarkStart w:id="5" w:name="_Ref386806779"/>
      <w:r>
        <w:rPr>
          <w:lang w:val="en-IE"/>
        </w:rPr>
        <w:t>Nutrient Retention</w:t>
      </w:r>
      <w:bookmarkEnd w:id="5"/>
    </w:p>
    <w:p w:rsidR="00A830B7" w:rsidRPr="00506D6A" w:rsidRDefault="007E6F2F" w:rsidP="00F559C6">
      <w:pPr>
        <w:rPr>
          <w:szCs w:val="22"/>
          <w:lang w:val="en-IE"/>
        </w:rPr>
      </w:pPr>
      <w:r w:rsidRPr="006472BA">
        <w:rPr>
          <w:szCs w:val="22"/>
          <w:lang w:val="en-IE"/>
        </w:rPr>
        <w:t xml:space="preserve">In many catchment types, conservative-only limitation of the modelling software </w:t>
      </w:r>
      <w:r w:rsidR="00D94AC0" w:rsidRPr="006472BA">
        <w:rPr>
          <w:szCs w:val="22"/>
          <w:lang w:val="en-IE"/>
        </w:rPr>
        <w:t>would serve as a drawback to</w:t>
      </w:r>
      <w:r w:rsidR="00FD5750" w:rsidRPr="006472BA">
        <w:rPr>
          <w:szCs w:val="22"/>
          <w:lang w:val="en-IE"/>
        </w:rPr>
        <w:t xml:space="preserve"> pollutant</w:t>
      </w:r>
      <w:r w:rsidR="00D94AC0" w:rsidRPr="006472BA">
        <w:rPr>
          <w:szCs w:val="22"/>
          <w:lang w:val="en-IE"/>
        </w:rPr>
        <w:t xml:space="preserve"> modelling. </w:t>
      </w:r>
      <w:r w:rsidR="00D94AC0" w:rsidRPr="006472BA">
        <w:t>However</w:t>
      </w:r>
      <w:r w:rsidR="00A72AB4">
        <w:t>,</w:t>
      </w:r>
      <w:r w:rsidR="00D94AC0" w:rsidRPr="006472BA">
        <w:t xml:space="preserve"> nutrient transport through a highly karstified catchment such as the Gort Lowlands can be reasonably assumed to act conservatively (once the nutrients have entered the conduit system). </w:t>
      </w:r>
      <w:r w:rsidR="00FD5750" w:rsidRPr="006472BA">
        <w:t xml:space="preserve">As such, making a comparison between modelled and observed nutrient behaviours within the turloughs is a useful technique to ascertain the magnitude </w:t>
      </w:r>
      <w:r w:rsidR="00FD5750" w:rsidRPr="00D62D66">
        <w:t>of any non-conservative nutrient mechanisms taking place</w:t>
      </w:r>
      <w:r w:rsidR="00A72AB4" w:rsidRPr="00D62D66">
        <w:t xml:space="preserve"> in these groundwater dependent ecosystems</w:t>
      </w:r>
      <w:r w:rsidR="00FD5750" w:rsidRPr="00D62D66">
        <w:t xml:space="preserve">. </w:t>
      </w:r>
      <w:r w:rsidR="00FD5750" w:rsidRPr="00D62D66">
        <w:rPr>
          <w:szCs w:val="22"/>
          <w:lang w:val="en-IE"/>
        </w:rPr>
        <w:t xml:space="preserve">Figures </w:t>
      </w:r>
      <w:r w:rsidR="007D2368" w:rsidRPr="00D62D66">
        <w:rPr>
          <w:szCs w:val="22"/>
          <w:lang w:val="en-IE"/>
        </w:rPr>
        <w:t>9</w:t>
      </w:r>
      <w:r w:rsidR="00FD5750" w:rsidRPr="00D62D66">
        <w:rPr>
          <w:szCs w:val="22"/>
          <w:lang w:val="en-IE"/>
        </w:rPr>
        <w:t xml:space="preserve"> and </w:t>
      </w:r>
      <w:r w:rsidR="00B75A4F" w:rsidRPr="00D62D66">
        <w:rPr>
          <w:szCs w:val="22"/>
          <w:lang w:val="en-IE"/>
        </w:rPr>
        <w:t>1</w:t>
      </w:r>
      <w:r w:rsidR="007D2368" w:rsidRPr="00D62D66">
        <w:rPr>
          <w:szCs w:val="22"/>
          <w:lang w:val="en-IE"/>
        </w:rPr>
        <w:t>0</w:t>
      </w:r>
      <w:r w:rsidR="00FD5750" w:rsidRPr="00D62D66">
        <w:rPr>
          <w:szCs w:val="22"/>
          <w:lang w:val="en-IE"/>
        </w:rPr>
        <w:t xml:space="preserve"> </w:t>
      </w:r>
      <w:r w:rsidR="00FD5750" w:rsidRPr="00D62D66">
        <w:t xml:space="preserve">show examples from simulations </w:t>
      </w:r>
      <w:r w:rsidR="00FD5750" w:rsidRPr="00D62D66">
        <w:rPr>
          <w:szCs w:val="22"/>
          <w:lang w:val="en-IE"/>
        </w:rPr>
        <w:t xml:space="preserve">predicting how nutrients/contaminants would behave after entering river flow-through and a surcharge tank turloughs. In these simulations, a nutrient plume was injected into the </w:t>
      </w:r>
      <w:r w:rsidR="00816944" w:rsidRPr="00D62D66">
        <w:rPr>
          <w:szCs w:val="22"/>
          <w:lang w:val="en-IE"/>
        </w:rPr>
        <w:t>SA1</w:t>
      </w:r>
      <w:r w:rsidR="00FD5750" w:rsidRPr="00D62D66">
        <w:rPr>
          <w:szCs w:val="22"/>
          <w:lang w:val="en-IE"/>
        </w:rPr>
        <w:t xml:space="preserve"> River at the onset of flooding. Blackrock turlough (</w:t>
      </w:r>
      <w:r w:rsidR="00FD5750" w:rsidRPr="00D62D66">
        <w:rPr>
          <w:szCs w:val="22"/>
          <w:lang w:val="en-IE"/>
        </w:rPr>
        <w:fldChar w:fldCharType="begin"/>
      </w:r>
      <w:r w:rsidR="00FD5750" w:rsidRPr="00D62D66">
        <w:rPr>
          <w:szCs w:val="22"/>
          <w:lang w:val="en-IE"/>
        </w:rPr>
        <w:instrText xml:space="preserve"> REF _Ref386449369 \h  \* MERGEFORMAT </w:instrText>
      </w:r>
      <w:r w:rsidR="00FD5750" w:rsidRPr="00D62D66">
        <w:rPr>
          <w:szCs w:val="22"/>
          <w:lang w:val="en-IE"/>
        </w:rPr>
      </w:r>
      <w:r w:rsidR="00FD5750" w:rsidRPr="00D62D66">
        <w:rPr>
          <w:szCs w:val="22"/>
          <w:lang w:val="en-IE"/>
        </w:rPr>
        <w:fldChar w:fldCharType="separate"/>
      </w:r>
      <w:r w:rsidR="00E40475" w:rsidRPr="00D62D66">
        <w:rPr>
          <w:szCs w:val="22"/>
        </w:rPr>
        <w:t xml:space="preserve">Figure </w:t>
      </w:r>
      <w:r w:rsidR="00E40475" w:rsidRPr="00D62D66">
        <w:rPr>
          <w:noProof/>
          <w:szCs w:val="22"/>
        </w:rPr>
        <w:t>9</w:t>
      </w:r>
      <w:r w:rsidR="00FD5750" w:rsidRPr="00D62D66">
        <w:rPr>
          <w:szCs w:val="22"/>
          <w:lang w:val="en-IE"/>
        </w:rPr>
        <w:fldChar w:fldCharType="end"/>
      </w:r>
      <w:r w:rsidR="00FD5750" w:rsidRPr="006472BA">
        <w:rPr>
          <w:szCs w:val="22"/>
          <w:lang w:val="en-IE"/>
        </w:rPr>
        <w:t>), a river flow-through turlough, shows a nutrient concentration peak-recession type pattern where the concentration drops as the turlough is still filling. This indicates a constant flux of water through the turlough whether it is flooding or emptying. Due to this peak-recession pattern, the nutrient mass within the turlough (</w:t>
      </w:r>
      <w:r w:rsidR="00FD5750" w:rsidRPr="006472BA">
        <w:rPr>
          <w:szCs w:val="22"/>
          <w:lang w:val="en-IE"/>
        </w:rPr>
        <w:fldChar w:fldCharType="begin"/>
      </w:r>
      <w:r w:rsidR="00FD5750" w:rsidRPr="006472BA">
        <w:rPr>
          <w:szCs w:val="22"/>
          <w:lang w:val="en-IE"/>
        </w:rPr>
        <w:instrText xml:space="preserve"> REF _Ref386449369 \h  \* MERGEFORMAT </w:instrText>
      </w:r>
      <w:r w:rsidR="00FD5750" w:rsidRPr="006472BA">
        <w:rPr>
          <w:szCs w:val="22"/>
          <w:lang w:val="en-IE"/>
        </w:rPr>
      </w:r>
      <w:r w:rsidR="00FD5750" w:rsidRPr="006472BA">
        <w:rPr>
          <w:szCs w:val="22"/>
          <w:lang w:val="en-IE"/>
        </w:rPr>
        <w:fldChar w:fldCharType="separate"/>
      </w:r>
      <w:r w:rsidR="00E40475" w:rsidRPr="00E40475">
        <w:rPr>
          <w:szCs w:val="22"/>
        </w:rPr>
        <w:t xml:space="preserve">Figure </w:t>
      </w:r>
      <w:r w:rsidR="00E40475" w:rsidRPr="00E40475">
        <w:rPr>
          <w:noProof/>
          <w:szCs w:val="22"/>
        </w:rPr>
        <w:t>9</w:t>
      </w:r>
      <w:r w:rsidR="00FD5750" w:rsidRPr="006472BA">
        <w:rPr>
          <w:szCs w:val="22"/>
          <w:lang w:val="en-IE"/>
        </w:rPr>
        <w:fldChar w:fldCharType="end"/>
      </w:r>
      <w:r w:rsidR="00FD5750" w:rsidRPr="006472BA">
        <w:rPr>
          <w:szCs w:val="22"/>
          <w:lang w:val="en-IE"/>
        </w:rPr>
        <w:t xml:space="preserve">(b)) </w:t>
      </w:r>
      <w:r w:rsidR="00FD5750">
        <w:rPr>
          <w:szCs w:val="22"/>
          <w:lang w:val="en-IE"/>
        </w:rPr>
        <w:t xml:space="preserve">can be seen to drop slightly before the water volume does. The simulated response of Coy, the surcharge tank type turlough, in </w:t>
      </w:r>
      <w:r w:rsidR="00FD5750">
        <w:rPr>
          <w:szCs w:val="22"/>
          <w:lang w:val="en-IE"/>
        </w:rPr>
        <w:fldChar w:fldCharType="begin"/>
      </w:r>
      <w:r w:rsidR="00FD5750">
        <w:rPr>
          <w:szCs w:val="22"/>
          <w:lang w:val="en-IE"/>
        </w:rPr>
        <w:instrText xml:space="preserve"> REF _Ref386449372 \h  \* MERGEFORMAT </w:instrText>
      </w:r>
      <w:r w:rsidR="00FD5750">
        <w:rPr>
          <w:szCs w:val="22"/>
          <w:lang w:val="en-IE"/>
        </w:rPr>
      </w:r>
      <w:r w:rsidR="00FD5750">
        <w:rPr>
          <w:szCs w:val="22"/>
          <w:lang w:val="en-IE"/>
        </w:rPr>
        <w:fldChar w:fldCharType="separate"/>
      </w:r>
      <w:r w:rsidR="00E40475" w:rsidRPr="00E40475">
        <w:rPr>
          <w:szCs w:val="22"/>
        </w:rPr>
        <w:t xml:space="preserve">Figure </w:t>
      </w:r>
      <w:r w:rsidR="00E40475" w:rsidRPr="00E40475">
        <w:rPr>
          <w:noProof/>
          <w:szCs w:val="22"/>
        </w:rPr>
        <w:t>10</w:t>
      </w:r>
      <w:r w:rsidR="00FD5750">
        <w:rPr>
          <w:szCs w:val="22"/>
          <w:lang w:val="en-IE"/>
        </w:rPr>
        <w:fldChar w:fldCharType="end"/>
      </w:r>
      <w:r w:rsidR="00FD5750">
        <w:rPr>
          <w:szCs w:val="22"/>
          <w:lang w:val="en-IE"/>
        </w:rPr>
        <w:t xml:space="preserve"> however, is distinctly different to that of Blackrock. Once the contaminant has entered the water body, the concentration remains relatively constant (the slight recession of concentration seen in </w:t>
      </w:r>
      <w:r w:rsidR="00FD5750">
        <w:rPr>
          <w:szCs w:val="22"/>
          <w:lang w:val="en-IE"/>
        </w:rPr>
        <w:fldChar w:fldCharType="begin"/>
      </w:r>
      <w:r w:rsidR="00FD5750">
        <w:rPr>
          <w:szCs w:val="22"/>
          <w:lang w:val="en-IE"/>
        </w:rPr>
        <w:instrText xml:space="preserve"> REF _Ref386449372 \h  \* MERGEFORMAT </w:instrText>
      </w:r>
      <w:r w:rsidR="00FD5750">
        <w:rPr>
          <w:szCs w:val="22"/>
          <w:lang w:val="en-IE"/>
        </w:rPr>
      </w:r>
      <w:r w:rsidR="00FD5750">
        <w:rPr>
          <w:szCs w:val="22"/>
          <w:lang w:val="en-IE"/>
        </w:rPr>
        <w:fldChar w:fldCharType="separate"/>
      </w:r>
      <w:r w:rsidR="00E40475" w:rsidRPr="00E40475">
        <w:rPr>
          <w:szCs w:val="22"/>
        </w:rPr>
        <w:t xml:space="preserve">Figure </w:t>
      </w:r>
      <w:r w:rsidR="00E40475" w:rsidRPr="00E40475">
        <w:rPr>
          <w:noProof/>
          <w:szCs w:val="22"/>
        </w:rPr>
        <w:t>10</w:t>
      </w:r>
      <w:r w:rsidR="00FD5750">
        <w:rPr>
          <w:szCs w:val="22"/>
          <w:lang w:val="en-IE"/>
        </w:rPr>
        <w:fldChar w:fldCharType="end"/>
      </w:r>
      <w:r w:rsidR="00FD5750">
        <w:rPr>
          <w:szCs w:val="22"/>
          <w:lang w:val="en-IE"/>
        </w:rPr>
        <w:t xml:space="preserve">(a) is due to the presence of a second swallow hole which only influences the turlough at a depth above 10 m).   </w:t>
      </w:r>
    </w:p>
    <w:p w:rsidR="00501DDB" w:rsidRDefault="00501DDB" w:rsidP="00F559C6">
      <w:pPr>
        <w:rPr>
          <w:lang w:val="en-IE"/>
        </w:rPr>
      </w:pPr>
    </w:p>
    <w:p w:rsidR="003120AC" w:rsidRDefault="003120AC" w:rsidP="003120AC">
      <w:pPr>
        <w:rPr>
          <w:szCs w:val="22"/>
          <w:lang w:val="en-IE"/>
        </w:rPr>
      </w:pPr>
      <w:r>
        <w:rPr>
          <w:szCs w:val="22"/>
          <w:lang w:val="en-IE"/>
        </w:rPr>
        <w:t>While these simulations are based on a hypothetical nutrient plume and cannot be compared directly to the observed behaviour within the turloughs, they offer a useful conceptual distinction between how flow-through and surcharge tank turloughs should behave. Looking at the observed results in</w:t>
      </w:r>
      <w:r w:rsidR="009B32CF">
        <w:rPr>
          <w:szCs w:val="22"/>
          <w:lang w:val="en-IE"/>
        </w:rPr>
        <w:t xml:space="preserve"> </w:t>
      </w:r>
      <w:r w:rsidR="009B32CF">
        <w:rPr>
          <w:szCs w:val="22"/>
          <w:lang w:val="en-IE"/>
        </w:rPr>
        <w:lastRenderedPageBreak/>
        <w:fldChar w:fldCharType="begin"/>
      </w:r>
      <w:r w:rsidR="009B32CF">
        <w:rPr>
          <w:szCs w:val="22"/>
          <w:lang w:val="en-IE"/>
        </w:rPr>
        <w:instrText xml:space="preserve"> REF _Ref414829291 \h </w:instrText>
      </w:r>
      <w:r w:rsidR="009B32CF">
        <w:rPr>
          <w:szCs w:val="22"/>
          <w:lang w:val="en-IE"/>
        </w:rPr>
      </w:r>
      <w:r w:rsidR="009B32CF">
        <w:rPr>
          <w:szCs w:val="22"/>
          <w:lang w:val="en-IE"/>
        </w:rPr>
        <w:fldChar w:fldCharType="separate"/>
      </w:r>
      <w:r w:rsidR="009B32CF">
        <w:t xml:space="preserve">Figure </w:t>
      </w:r>
      <w:r w:rsidR="009B32CF">
        <w:rPr>
          <w:noProof/>
        </w:rPr>
        <w:t>7</w:t>
      </w:r>
      <w:r w:rsidR="009B32CF">
        <w:rPr>
          <w:szCs w:val="22"/>
          <w:lang w:val="en-IE"/>
        </w:rPr>
        <w:fldChar w:fldCharType="end"/>
      </w:r>
      <w:r>
        <w:rPr>
          <w:szCs w:val="22"/>
          <w:lang w:val="en-IE"/>
        </w:rPr>
        <w:t xml:space="preserve">, the flow-through/surcharge tank patterns are not as prevalent as might be anticipated. However, in a number of cases, the pattern expected of flow-through turloughs was found to occur with reductions in the nutrient mass commencing before the water volume starts to recede. Hence, this suggests that some non-conservative nutrient removal / transformation processes must be occurring within these turloughs. </w:t>
      </w:r>
    </w:p>
    <w:p w:rsidR="002E7956" w:rsidRDefault="002E7956" w:rsidP="00F559C6">
      <w:pPr>
        <w:rPr>
          <w:szCs w:val="22"/>
          <w:lang w:val="en-IE"/>
        </w:rPr>
      </w:pPr>
    </w:p>
    <w:p w:rsidR="00DC396C" w:rsidRDefault="007E6F2F" w:rsidP="007E6F2F">
      <w:pPr>
        <w:pStyle w:val="Heading3"/>
        <w:rPr>
          <w:lang w:val="en-IE"/>
        </w:rPr>
      </w:pPr>
      <w:bookmarkStart w:id="6" w:name="_Ref389225800"/>
      <w:r>
        <w:rPr>
          <w:lang w:val="en-IE"/>
        </w:rPr>
        <w:t>Diffuse Contribution</w:t>
      </w:r>
      <w:bookmarkEnd w:id="6"/>
    </w:p>
    <w:p w:rsidR="00D327F0" w:rsidRDefault="001E0222" w:rsidP="001E0222">
      <w:pPr>
        <w:rPr>
          <w:szCs w:val="22"/>
          <w:lang w:val="en-IE"/>
        </w:rPr>
      </w:pPr>
      <w:r w:rsidRPr="00BB5250">
        <w:rPr>
          <w:szCs w:val="22"/>
          <w:lang w:val="en-IE"/>
        </w:rPr>
        <w:t xml:space="preserve">The hydraulic model calculates conduit flow using a series of interconnected pipes and calculates diffuse type flow </w:t>
      </w:r>
      <w:r w:rsidR="00BB5250" w:rsidRPr="00BB5250">
        <w:rPr>
          <w:szCs w:val="22"/>
          <w:lang w:val="en-IE"/>
        </w:rPr>
        <w:t xml:space="preserve">(which subsequently feeds conduit flow) </w:t>
      </w:r>
      <w:r w:rsidRPr="00BB5250">
        <w:rPr>
          <w:szCs w:val="22"/>
          <w:lang w:val="en-IE"/>
        </w:rPr>
        <w:t xml:space="preserve">using a network of subcatchments which are linked to the conduit network via permeable pipes </w:t>
      </w:r>
      <w:r w:rsidRPr="00BB5250">
        <w:rPr>
          <w:szCs w:val="22"/>
          <w:lang w:val="en-IE"/>
        </w:rPr>
        <w:fldChar w:fldCharType="begin"/>
      </w:r>
      <w:r w:rsidR="00575CDF">
        <w:rPr>
          <w:szCs w:val="22"/>
          <w:lang w:val="en-IE"/>
        </w:rPr>
        <w:instrText xml:space="preserve"> ADDIN EN.CITE &lt;EndNote&gt;&lt;Cite&gt;&lt;Author&gt;Gill&lt;/Author&gt;&lt;Year&gt;2013&lt;/Year&gt;&lt;RecNum&gt;412&lt;/RecNum&gt;&lt;DisplayText&gt;(Gill et al., 2013a)&lt;/DisplayText&gt;&lt;record&gt;&lt;rec-number&gt;412&lt;/rec-number&gt;&lt;foreign-keys&gt;&lt;key app="EN" db-id="dswvr2vdivtsvfepswzvft9gtsxe5zxfaavp" timestamp="1369822045"&gt;412&lt;/key&gt;&lt;/foreign-keys&gt;&lt;ref-type name="Journal Article"&gt;17&lt;/ref-type&gt;&lt;contributors&gt;&lt;authors&gt;&lt;author&gt;Gill, L.W.&lt;/author&gt;&lt;author&gt;Naughton, O.&lt;/author&gt;&lt;author&gt;Johnston, P.&lt;/author&gt;&lt;/authors&gt;&lt;/contributors&gt;&lt;titles&gt;&lt;title&gt;Modelling a network of turloughs in lowland karst&lt;/title&gt;&lt;secondary-title&gt;Water Resources Research&lt;/secondary-title&gt;&lt;/titles&gt;&lt;periodical&gt;&lt;full-title&gt;Water Resources Research&lt;/full-title&gt;&lt;/periodical&gt;&lt;pages&gt;3487-3503&lt;/pages&gt;&lt;volume&gt;49&lt;/volume&gt;&lt;number&gt;6&lt;/number&gt;&lt;dates&gt;&lt;year&gt;2013&lt;/year&gt;&lt;/dates&gt;&lt;urls&gt;&lt;/urls&gt;&lt;/record&gt;&lt;/Cite&gt;&lt;/EndNote&gt;</w:instrText>
      </w:r>
      <w:r w:rsidRPr="00BB5250">
        <w:rPr>
          <w:szCs w:val="22"/>
          <w:lang w:val="en-IE"/>
        </w:rPr>
        <w:fldChar w:fldCharType="separate"/>
      </w:r>
      <w:r w:rsidR="00575CDF">
        <w:rPr>
          <w:noProof/>
          <w:szCs w:val="22"/>
          <w:lang w:val="en-IE"/>
        </w:rPr>
        <w:t>(</w:t>
      </w:r>
      <w:hyperlink w:anchor="_ENREF_16" w:tooltip="Gill, 2013 #412" w:history="1">
        <w:r w:rsidR="006B35EC">
          <w:rPr>
            <w:noProof/>
            <w:szCs w:val="22"/>
            <w:lang w:val="en-IE"/>
          </w:rPr>
          <w:t>Gill et al., 2013a</w:t>
        </w:r>
      </w:hyperlink>
      <w:r w:rsidR="00575CDF">
        <w:rPr>
          <w:noProof/>
          <w:szCs w:val="22"/>
          <w:lang w:val="en-IE"/>
        </w:rPr>
        <w:t>)</w:t>
      </w:r>
      <w:r w:rsidRPr="00BB5250">
        <w:rPr>
          <w:szCs w:val="22"/>
          <w:lang w:val="en-IE"/>
        </w:rPr>
        <w:fldChar w:fldCharType="end"/>
      </w:r>
      <w:r w:rsidRPr="00BB5250">
        <w:rPr>
          <w:szCs w:val="22"/>
          <w:lang w:val="en-IE"/>
        </w:rPr>
        <w:t xml:space="preserve">. As such, it is possible to separate the contribution </w:t>
      </w:r>
      <w:r w:rsidR="003D336E" w:rsidRPr="00BB5250">
        <w:rPr>
          <w:szCs w:val="22"/>
          <w:lang w:val="en-IE"/>
        </w:rPr>
        <w:t>of</w:t>
      </w:r>
      <w:r w:rsidR="00BB5250">
        <w:rPr>
          <w:szCs w:val="22"/>
          <w:lang w:val="en-IE"/>
        </w:rPr>
        <w:t xml:space="preserve"> autogenic</w:t>
      </w:r>
      <w:r w:rsidRPr="00BB5250">
        <w:rPr>
          <w:szCs w:val="22"/>
          <w:lang w:val="en-IE"/>
        </w:rPr>
        <w:t xml:space="preserve"> conduit flow from</w:t>
      </w:r>
      <w:r w:rsidR="00BB5250">
        <w:rPr>
          <w:szCs w:val="22"/>
          <w:lang w:val="en-IE"/>
        </w:rPr>
        <w:t xml:space="preserve"> allogenic</w:t>
      </w:r>
      <w:r w:rsidR="00607AE7">
        <w:rPr>
          <w:szCs w:val="22"/>
          <w:lang w:val="en-IE"/>
        </w:rPr>
        <w:t xml:space="preserve"> diffuse flow</w:t>
      </w:r>
      <w:r w:rsidR="00BB5250">
        <w:rPr>
          <w:szCs w:val="22"/>
          <w:lang w:val="en-IE"/>
        </w:rPr>
        <w:t xml:space="preserve"> </w:t>
      </w:r>
      <w:r w:rsidRPr="00BB5250">
        <w:rPr>
          <w:szCs w:val="22"/>
          <w:lang w:val="en-IE"/>
        </w:rPr>
        <w:t xml:space="preserve">at each turlough. </w:t>
      </w:r>
      <w:r w:rsidR="00897551" w:rsidRPr="00BB5250">
        <w:rPr>
          <w:szCs w:val="22"/>
          <w:lang w:val="en-IE"/>
        </w:rPr>
        <w:t xml:space="preserve">For a particular turlough, its diffuse contribution was calculated by comparing the flow (and </w:t>
      </w:r>
      <w:r w:rsidR="00897551" w:rsidRPr="00607AE7">
        <w:rPr>
          <w:szCs w:val="22"/>
          <w:lang w:val="en-IE"/>
        </w:rPr>
        <w:t xml:space="preserve">nutrient content) of its main feeding conduit with the contribution from all subcatchments upstream of that turlough. </w:t>
      </w:r>
      <w:r w:rsidR="003D336E" w:rsidRPr="00607AE7">
        <w:rPr>
          <w:szCs w:val="22"/>
          <w:lang w:val="en-IE"/>
        </w:rPr>
        <w:t>Overall, the contribution of modelled diffuse flow to the turloughs w</w:t>
      </w:r>
      <w:r w:rsidR="004515F7" w:rsidRPr="00607AE7">
        <w:rPr>
          <w:szCs w:val="22"/>
          <w:lang w:val="en-IE"/>
        </w:rPr>
        <w:t>as found to add</w:t>
      </w:r>
      <w:r w:rsidR="003D336E" w:rsidRPr="00607AE7">
        <w:rPr>
          <w:szCs w:val="22"/>
          <w:lang w:val="en-IE"/>
        </w:rPr>
        <w:t xml:space="preserve"> approximately </w:t>
      </w:r>
      <w:r w:rsidR="007A778A" w:rsidRPr="00607AE7">
        <w:rPr>
          <w:szCs w:val="22"/>
          <w:lang w:val="en-IE"/>
        </w:rPr>
        <w:t>3</w:t>
      </w:r>
      <w:r w:rsidR="00D45854">
        <w:rPr>
          <w:szCs w:val="22"/>
          <w:lang w:val="en-IE"/>
        </w:rPr>
        <w:t>5</w:t>
      </w:r>
      <w:r w:rsidR="003D336E" w:rsidRPr="00607AE7">
        <w:rPr>
          <w:szCs w:val="22"/>
          <w:lang w:val="en-IE"/>
        </w:rPr>
        <w:t xml:space="preserve">% </w:t>
      </w:r>
      <w:r w:rsidR="004515F7" w:rsidRPr="00607AE7">
        <w:rPr>
          <w:szCs w:val="22"/>
          <w:lang w:val="en-IE"/>
        </w:rPr>
        <w:t>to the conduit flow</w:t>
      </w:r>
      <w:r w:rsidR="00EB1AC7" w:rsidRPr="00607AE7">
        <w:rPr>
          <w:szCs w:val="22"/>
          <w:lang w:val="en-IE"/>
        </w:rPr>
        <w:t xml:space="preserve">. </w:t>
      </w:r>
      <w:r w:rsidR="004515F7" w:rsidRPr="00607AE7">
        <w:rPr>
          <w:szCs w:val="22"/>
          <w:lang w:val="en-IE"/>
        </w:rPr>
        <w:t xml:space="preserve"> </w:t>
      </w:r>
      <w:r w:rsidR="00897551" w:rsidRPr="00607AE7">
        <w:rPr>
          <w:szCs w:val="22"/>
          <w:lang w:val="en-IE"/>
        </w:rPr>
        <w:t xml:space="preserve">By combining mean groundwater concentrations with the estimated diffuse flow from each subcatchment it was possible to determine a mean loading rate for each subcatchment. </w:t>
      </w:r>
      <w:r w:rsidR="00D327F0" w:rsidRPr="00607AE7">
        <w:rPr>
          <w:szCs w:val="22"/>
          <w:lang w:val="en-IE"/>
        </w:rPr>
        <w:t xml:space="preserve">Overall, </w:t>
      </w:r>
      <w:r w:rsidR="003120AC" w:rsidRPr="00607AE7">
        <w:rPr>
          <w:szCs w:val="22"/>
          <w:lang w:val="en-IE"/>
        </w:rPr>
        <w:t xml:space="preserve">the </w:t>
      </w:r>
      <w:r w:rsidR="00D327F0" w:rsidRPr="00607AE7">
        <w:rPr>
          <w:szCs w:val="22"/>
          <w:lang w:val="en-IE"/>
        </w:rPr>
        <w:t xml:space="preserve">diffuse influx was found to add approximately </w:t>
      </w:r>
      <w:r w:rsidR="004D2EC6" w:rsidRPr="00607AE7">
        <w:rPr>
          <w:szCs w:val="22"/>
          <w:lang w:val="en-IE"/>
        </w:rPr>
        <w:t>60</w:t>
      </w:r>
      <w:r w:rsidR="00D327F0" w:rsidRPr="00607AE7">
        <w:rPr>
          <w:szCs w:val="22"/>
          <w:lang w:val="en-IE"/>
        </w:rPr>
        <w:t xml:space="preserve">% of additional N load to the turloughs, rising to approximately </w:t>
      </w:r>
      <w:r w:rsidR="004D2EC6" w:rsidRPr="00607AE7">
        <w:rPr>
          <w:szCs w:val="22"/>
          <w:lang w:val="en-IE"/>
        </w:rPr>
        <w:t>85</w:t>
      </w:r>
      <w:r w:rsidR="00D327F0" w:rsidRPr="00607AE7">
        <w:rPr>
          <w:szCs w:val="22"/>
          <w:lang w:val="en-IE"/>
        </w:rPr>
        <w:t xml:space="preserve">% at </w:t>
      </w:r>
      <w:r w:rsidR="00A72AB4">
        <w:rPr>
          <w:szCs w:val="22"/>
          <w:lang w:val="en-IE"/>
        </w:rPr>
        <w:t xml:space="preserve">the </w:t>
      </w:r>
      <w:r w:rsidR="00D327F0" w:rsidRPr="00607AE7">
        <w:rPr>
          <w:szCs w:val="22"/>
          <w:lang w:val="en-IE"/>
        </w:rPr>
        <w:t>Kinvara</w:t>
      </w:r>
      <w:r w:rsidR="00A72AB4">
        <w:rPr>
          <w:szCs w:val="22"/>
          <w:lang w:val="en-IE"/>
        </w:rPr>
        <w:t xml:space="preserve"> spring</w:t>
      </w:r>
      <w:r w:rsidR="00D327F0" w:rsidRPr="00607AE7">
        <w:rPr>
          <w:szCs w:val="22"/>
          <w:lang w:val="en-IE"/>
        </w:rPr>
        <w:t xml:space="preserve">. For P, the influx was lower, adding approximately </w:t>
      </w:r>
      <w:r w:rsidR="001C1EF2" w:rsidRPr="00607AE7">
        <w:rPr>
          <w:szCs w:val="22"/>
          <w:lang w:val="en-IE"/>
        </w:rPr>
        <w:t>30</w:t>
      </w:r>
      <w:r w:rsidR="00D327F0" w:rsidRPr="00607AE7">
        <w:rPr>
          <w:szCs w:val="22"/>
          <w:lang w:val="en-IE"/>
        </w:rPr>
        <w:t>-</w:t>
      </w:r>
      <w:r w:rsidR="001C1EF2" w:rsidRPr="00607AE7">
        <w:rPr>
          <w:szCs w:val="22"/>
          <w:lang w:val="en-IE"/>
        </w:rPr>
        <w:t>4</w:t>
      </w:r>
      <w:r w:rsidR="00D327F0" w:rsidRPr="00607AE7">
        <w:rPr>
          <w:szCs w:val="22"/>
          <w:lang w:val="en-IE"/>
        </w:rPr>
        <w:t>0% (although results for P are less reliable due to its heterogeneity within the groundwater).</w:t>
      </w:r>
    </w:p>
    <w:p w:rsidR="00955F53" w:rsidRDefault="00955F53" w:rsidP="001E0222">
      <w:pPr>
        <w:rPr>
          <w:szCs w:val="22"/>
          <w:lang w:val="en-IE"/>
        </w:rPr>
      </w:pPr>
    </w:p>
    <w:p w:rsidR="00955F53" w:rsidRDefault="00955F53" w:rsidP="00955F53">
      <w:pPr>
        <w:pStyle w:val="Heading3"/>
        <w:rPr>
          <w:lang w:val="en-IE"/>
        </w:rPr>
      </w:pPr>
      <w:r>
        <w:rPr>
          <w:lang w:val="en-IE"/>
        </w:rPr>
        <w:t>Nutrient Mass Balance</w:t>
      </w:r>
    </w:p>
    <w:p w:rsidR="004B3AFF" w:rsidRPr="00ED6651" w:rsidRDefault="00141324" w:rsidP="00955F53">
      <w:pPr>
        <w:rPr>
          <w:color w:val="000000" w:themeColor="text1"/>
          <w:highlight w:val="yellow"/>
          <w:lang w:val="en-IE"/>
        </w:rPr>
      </w:pPr>
      <w:r w:rsidRPr="00ED6651">
        <w:rPr>
          <w:color w:val="000000" w:themeColor="text1"/>
          <w:highlight w:val="yellow"/>
          <w:lang w:val="en-IE"/>
        </w:rPr>
        <w:t>The nutrient dynamics throughout the catchment can be interpreted by means of a simple nutrient mass balance</w:t>
      </w:r>
      <w:r w:rsidR="00ED6651" w:rsidRPr="00ED6651">
        <w:rPr>
          <w:color w:val="000000" w:themeColor="text1"/>
          <w:highlight w:val="yellow"/>
          <w:lang w:val="en-IE"/>
        </w:rPr>
        <w:t xml:space="preserve"> between the primary input, (rivers), and the output, (KW). This mass balance, based on observed results, can then be used to elucidate the other processes taking place, such as non-conservative processes, direct lake additions and groundwater influx from allogenic sources (which has been modelled). </w:t>
      </w:r>
      <w:r w:rsidR="00955F53" w:rsidRPr="00ED6651">
        <w:rPr>
          <w:color w:val="000000" w:themeColor="text1"/>
          <w:szCs w:val="22"/>
          <w:highlight w:val="yellow"/>
          <w:lang w:val="en-IE"/>
        </w:rPr>
        <w:t>The mean daily TN load entering the system through the rivers is approximately 590 kg/day while the mean daily load exiting the sy</w:t>
      </w:r>
      <w:r w:rsidR="00E441E4">
        <w:rPr>
          <w:color w:val="000000" w:themeColor="text1"/>
          <w:szCs w:val="22"/>
          <w:highlight w:val="yellow"/>
          <w:lang w:val="en-IE"/>
        </w:rPr>
        <w:t>stem is estimated as 800 kg/day (</w:t>
      </w:r>
      <w:r w:rsidR="00462EC2">
        <w:rPr>
          <w:color w:val="000000" w:themeColor="text1"/>
          <w:szCs w:val="22"/>
          <w:highlight w:val="yellow"/>
          <w:lang w:val="en-IE"/>
        </w:rPr>
        <w:t xml:space="preserve">the </w:t>
      </w:r>
      <w:r w:rsidR="00E441E4">
        <w:rPr>
          <w:color w:val="000000" w:themeColor="text1"/>
          <w:szCs w:val="22"/>
          <w:highlight w:val="yellow"/>
          <w:lang w:val="en-IE"/>
        </w:rPr>
        <w:t xml:space="preserve">KW output load </w:t>
      </w:r>
      <w:r w:rsidR="00462EC2">
        <w:rPr>
          <w:color w:val="000000" w:themeColor="text1"/>
          <w:szCs w:val="22"/>
          <w:highlight w:val="yellow"/>
          <w:lang w:val="en-IE"/>
        </w:rPr>
        <w:t>being</w:t>
      </w:r>
      <w:r w:rsidR="00E441E4">
        <w:rPr>
          <w:color w:val="000000" w:themeColor="text1"/>
          <w:szCs w:val="22"/>
          <w:highlight w:val="yellow"/>
          <w:lang w:val="en-IE"/>
        </w:rPr>
        <w:t xml:space="preserve"> estimated</w:t>
      </w:r>
      <w:r w:rsidR="00955F53" w:rsidRPr="00ED6651">
        <w:rPr>
          <w:color w:val="000000" w:themeColor="text1"/>
          <w:szCs w:val="22"/>
          <w:highlight w:val="yellow"/>
          <w:lang w:val="en-IE"/>
        </w:rPr>
        <w:t xml:space="preserve"> </w:t>
      </w:r>
      <w:r w:rsidR="004B3AFF" w:rsidRPr="00ED6651">
        <w:rPr>
          <w:color w:val="000000" w:themeColor="text1"/>
          <w:szCs w:val="22"/>
          <w:highlight w:val="yellow"/>
          <w:lang w:val="en-IE"/>
        </w:rPr>
        <w:t xml:space="preserve">using observed concentration data and modelled KW discharge </w:t>
      </w:r>
      <w:r w:rsidR="00E441E4">
        <w:rPr>
          <w:color w:val="000000" w:themeColor="text1"/>
          <w:szCs w:val="22"/>
          <w:highlight w:val="yellow"/>
          <w:lang w:val="en-IE"/>
        </w:rPr>
        <w:t xml:space="preserve">– as </w:t>
      </w:r>
      <w:r w:rsidR="004B3AFF" w:rsidRPr="00ED6651">
        <w:rPr>
          <w:color w:val="000000" w:themeColor="text1"/>
          <w:szCs w:val="22"/>
          <w:highlight w:val="yellow"/>
          <w:lang w:val="en-IE"/>
        </w:rPr>
        <w:t>KW discharge cannot be measured directly).</w:t>
      </w:r>
      <w:r w:rsidR="00955F53" w:rsidRPr="00ED6651">
        <w:rPr>
          <w:color w:val="000000" w:themeColor="text1"/>
          <w:szCs w:val="22"/>
          <w:highlight w:val="yellow"/>
          <w:lang w:val="en-IE"/>
        </w:rPr>
        <w:t xml:space="preserve"> This indicates that even though the concentrations remain similar</w:t>
      </w:r>
      <w:r w:rsidR="004B3AFF" w:rsidRPr="00ED6651">
        <w:rPr>
          <w:color w:val="000000" w:themeColor="text1"/>
          <w:szCs w:val="22"/>
          <w:highlight w:val="yellow"/>
          <w:lang w:val="en-IE"/>
        </w:rPr>
        <w:t xml:space="preserve"> (mean river concentration: 1.01mg/l, KW concentration: 1.05mg/l)</w:t>
      </w:r>
      <w:r w:rsidR="00955F53" w:rsidRPr="00ED6651">
        <w:rPr>
          <w:color w:val="000000" w:themeColor="text1"/>
          <w:szCs w:val="22"/>
          <w:highlight w:val="yellow"/>
          <w:lang w:val="en-IE"/>
        </w:rPr>
        <w:t xml:space="preserve">, there is a net gain of TN as water moves through the system. This net gain of N at Kinvara amounts to a 36% increase from that of the rivers. </w:t>
      </w:r>
    </w:p>
    <w:p w:rsidR="004B3AFF" w:rsidRPr="00ED6651" w:rsidRDefault="004B3AFF" w:rsidP="00955F53">
      <w:pPr>
        <w:rPr>
          <w:color w:val="000000" w:themeColor="text1"/>
          <w:szCs w:val="22"/>
          <w:highlight w:val="yellow"/>
          <w:lang w:val="en-IE"/>
        </w:rPr>
      </w:pPr>
    </w:p>
    <w:p w:rsidR="00955F53" w:rsidRPr="00ED6651" w:rsidRDefault="004B3AFF" w:rsidP="00955F53">
      <w:pPr>
        <w:rPr>
          <w:color w:val="000000" w:themeColor="text1"/>
          <w:szCs w:val="22"/>
          <w:highlight w:val="yellow"/>
          <w:lang w:val="en-IE"/>
        </w:rPr>
      </w:pPr>
      <w:r w:rsidRPr="00ED6651">
        <w:rPr>
          <w:color w:val="000000" w:themeColor="text1"/>
          <w:szCs w:val="22"/>
          <w:highlight w:val="yellow"/>
          <w:lang w:val="en-IE"/>
        </w:rPr>
        <w:t>Now</w:t>
      </w:r>
      <w:proofErr w:type="gramStart"/>
      <w:r w:rsidR="00462EC2">
        <w:rPr>
          <w:color w:val="000000" w:themeColor="text1"/>
          <w:szCs w:val="22"/>
          <w:highlight w:val="yellow"/>
          <w:lang w:val="en-IE"/>
        </w:rPr>
        <w:t xml:space="preserve">, </w:t>
      </w:r>
      <w:r w:rsidRPr="00ED6651">
        <w:rPr>
          <w:color w:val="000000" w:themeColor="text1"/>
          <w:szCs w:val="22"/>
          <w:highlight w:val="yellow"/>
          <w:lang w:val="en-IE"/>
        </w:rPr>
        <w:t xml:space="preserve"> </w:t>
      </w:r>
      <w:r w:rsidR="00462EC2">
        <w:rPr>
          <w:color w:val="000000" w:themeColor="text1"/>
          <w:szCs w:val="22"/>
          <w:highlight w:val="yellow"/>
          <w:lang w:val="en-IE"/>
        </w:rPr>
        <w:t>given</w:t>
      </w:r>
      <w:proofErr w:type="gramEnd"/>
      <w:r w:rsidR="00462EC2">
        <w:rPr>
          <w:color w:val="000000" w:themeColor="text1"/>
          <w:szCs w:val="22"/>
          <w:highlight w:val="yellow"/>
          <w:lang w:val="en-IE"/>
        </w:rPr>
        <w:t xml:space="preserve"> </w:t>
      </w:r>
      <w:r w:rsidR="005630F5" w:rsidRPr="00ED6651">
        <w:rPr>
          <w:color w:val="000000" w:themeColor="text1"/>
          <w:szCs w:val="22"/>
          <w:highlight w:val="yellow"/>
          <w:lang w:val="en-IE"/>
        </w:rPr>
        <w:t xml:space="preserve">that the model estimates the overall </w:t>
      </w:r>
      <w:r w:rsidR="00ED6651" w:rsidRPr="00ED6651">
        <w:rPr>
          <w:color w:val="000000" w:themeColor="text1"/>
          <w:szCs w:val="22"/>
          <w:highlight w:val="yellow"/>
          <w:lang w:val="en-IE"/>
        </w:rPr>
        <w:t>diffuse contribution of N at Kinvara to be 85% (rather than 36%), this suggests that the contribution of high-N diffuse water to the system is offset by losses, most likely within the turloughs</w:t>
      </w:r>
      <w:r w:rsidR="00955F53" w:rsidRPr="00ED6651">
        <w:rPr>
          <w:color w:val="000000" w:themeColor="text1"/>
          <w:szCs w:val="22"/>
          <w:highlight w:val="yellow"/>
          <w:lang w:val="en-IE"/>
        </w:rPr>
        <w:t xml:space="preserve"> (discussed</w:t>
      </w:r>
      <w:r w:rsidR="00ED6651" w:rsidRPr="00ED6651">
        <w:rPr>
          <w:color w:val="000000" w:themeColor="text1"/>
          <w:szCs w:val="22"/>
          <w:highlight w:val="yellow"/>
          <w:lang w:val="en-IE"/>
        </w:rPr>
        <w:t xml:space="preserve"> later</w:t>
      </w:r>
      <w:r w:rsidR="00955F53" w:rsidRPr="00ED6651">
        <w:rPr>
          <w:color w:val="000000" w:themeColor="text1"/>
          <w:szCs w:val="22"/>
          <w:highlight w:val="yellow"/>
          <w:lang w:val="en-IE"/>
        </w:rPr>
        <w:t xml:space="preserve"> in Section </w:t>
      </w:r>
      <w:r w:rsidR="00955F53" w:rsidRPr="00ED6651">
        <w:rPr>
          <w:color w:val="000000" w:themeColor="text1"/>
          <w:szCs w:val="22"/>
          <w:highlight w:val="yellow"/>
          <w:lang w:val="en-IE"/>
        </w:rPr>
        <w:fldChar w:fldCharType="begin"/>
      </w:r>
      <w:r w:rsidR="00955F53" w:rsidRPr="00ED6651">
        <w:rPr>
          <w:color w:val="000000" w:themeColor="text1"/>
          <w:szCs w:val="22"/>
          <w:highlight w:val="yellow"/>
          <w:lang w:val="en-IE"/>
        </w:rPr>
        <w:instrText xml:space="preserve"> REF _Ref387852389 \r \h </w:instrText>
      </w:r>
      <w:r w:rsidR="00ED6651">
        <w:rPr>
          <w:color w:val="000000" w:themeColor="text1"/>
          <w:szCs w:val="22"/>
          <w:highlight w:val="yellow"/>
          <w:lang w:val="en-IE"/>
        </w:rPr>
        <w:instrText xml:space="preserve"> \* MERGEFORMAT </w:instrText>
      </w:r>
      <w:r w:rsidR="00955F53" w:rsidRPr="00ED6651">
        <w:rPr>
          <w:color w:val="000000" w:themeColor="text1"/>
          <w:szCs w:val="22"/>
          <w:highlight w:val="yellow"/>
          <w:lang w:val="en-IE"/>
        </w:rPr>
      </w:r>
      <w:r w:rsidR="00955F53" w:rsidRPr="00ED6651">
        <w:rPr>
          <w:color w:val="000000" w:themeColor="text1"/>
          <w:szCs w:val="22"/>
          <w:highlight w:val="yellow"/>
          <w:lang w:val="en-IE"/>
        </w:rPr>
        <w:fldChar w:fldCharType="separate"/>
      </w:r>
      <w:r w:rsidR="00E40475">
        <w:rPr>
          <w:color w:val="000000" w:themeColor="text1"/>
          <w:szCs w:val="22"/>
          <w:highlight w:val="yellow"/>
          <w:lang w:val="en-IE"/>
        </w:rPr>
        <w:t>4.5.2</w:t>
      </w:r>
      <w:r w:rsidR="00955F53" w:rsidRPr="00ED6651">
        <w:rPr>
          <w:color w:val="000000" w:themeColor="text1"/>
          <w:szCs w:val="22"/>
          <w:highlight w:val="yellow"/>
          <w:lang w:val="en-IE"/>
        </w:rPr>
        <w:fldChar w:fldCharType="end"/>
      </w:r>
      <w:r w:rsidR="00955F53" w:rsidRPr="00ED6651">
        <w:rPr>
          <w:color w:val="000000" w:themeColor="text1"/>
          <w:szCs w:val="22"/>
          <w:highlight w:val="yellow"/>
          <w:lang w:val="en-IE"/>
        </w:rPr>
        <w:t xml:space="preserve">). </w:t>
      </w:r>
    </w:p>
    <w:p w:rsidR="00955F53" w:rsidRPr="00ED6651" w:rsidRDefault="00955F53" w:rsidP="00955F53">
      <w:pPr>
        <w:rPr>
          <w:color w:val="000000" w:themeColor="text1"/>
          <w:szCs w:val="22"/>
          <w:highlight w:val="yellow"/>
          <w:lang w:val="en-IE"/>
        </w:rPr>
      </w:pPr>
    </w:p>
    <w:p w:rsidR="00777A4F" w:rsidRPr="00ED6651" w:rsidRDefault="00955F53" w:rsidP="00ED6651">
      <w:pPr>
        <w:rPr>
          <w:color w:val="000000" w:themeColor="text1"/>
          <w:shd w:val="clear" w:color="auto" w:fill="FFFFFF"/>
        </w:rPr>
      </w:pPr>
      <w:r w:rsidRPr="00ED6651">
        <w:rPr>
          <w:color w:val="000000" w:themeColor="text1"/>
          <w:szCs w:val="22"/>
          <w:highlight w:val="yellow"/>
          <w:lang w:val="en-IE"/>
        </w:rPr>
        <w:t>Unlike TN, TP shows only a slight reduction in daily loading rate between the rivers (16.5 kg/day) and Kinvara (17.6 kg/day) which indicates very little net gain of P as water moves through the system. Again, the model indicates a much greater increase in loading (approximately 30-40%</w:t>
      </w:r>
      <w:r w:rsidR="00ED6651" w:rsidRPr="00ED6651">
        <w:rPr>
          <w:color w:val="000000" w:themeColor="text1"/>
          <w:szCs w:val="22"/>
          <w:highlight w:val="yellow"/>
          <w:lang w:val="en-IE"/>
        </w:rPr>
        <w:t xml:space="preserve">) </w:t>
      </w:r>
      <w:r w:rsidRPr="00ED6651">
        <w:rPr>
          <w:color w:val="000000" w:themeColor="text1"/>
          <w:szCs w:val="22"/>
          <w:highlight w:val="yellow"/>
          <w:lang w:val="en-IE"/>
        </w:rPr>
        <w:t>which suggests some losses of P within the karst system.</w:t>
      </w:r>
      <w:r w:rsidRPr="00ED6651">
        <w:rPr>
          <w:color w:val="000000" w:themeColor="text1"/>
          <w:szCs w:val="22"/>
          <w:lang w:val="en-IE"/>
        </w:rPr>
        <w:t xml:space="preserve">  </w:t>
      </w:r>
    </w:p>
    <w:p w:rsidR="00ED6651" w:rsidRPr="003C7AB7" w:rsidRDefault="00ED6651" w:rsidP="00ED6651">
      <w:pPr>
        <w:rPr>
          <w:shd w:val="clear" w:color="auto" w:fill="FFFFFF"/>
        </w:rPr>
      </w:pPr>
    </w:p>
    <w:p w:rsidR="00777A4F" w:rsidRDefault="00777A4F" w:rsidP="00777A4F">
      <w:pPr>
        <w:pStyle w:val="Heading2"/>
      </w:pPr>
      <w:bookmarkStart w:id="7" w:name="_Ref389580846"/>
      <w:r>
        <w:t>Hydrochemical/Nutrient behaviour across the catchment</w:t>
      </w:r>
      <w:bookmarkEnd w:id="7"/>
    </w:p>
    <w:p w:rsidR="00777A4F" w:rsidRPr="00E67D31" w:rsidRDefault="00777A4F" w:rsidP="00777A4F">
      <w:pPr>
        <w:rPr>
          <w:lang w:val="en-IE"/>
        </w:rPr>
      </w:pPr>
      <w:r w:rsidRPr="00E67D31">
        <w:rPr>
          <w:lang w:val="en-IE"/>
        </w:rPr>
        <w:t>The majority of water</w:t>
      </w:r>
      <w:r w:rsidR="009F1D1B">
        <w:rPr>
          <w:lang w:val="en-IE"/>
        </w:rPr>
        <w:t xml:space="preserve"> </w:t>
      </w:r>
      <w:r w:rsidRPr="00E67D31">
        <w:rPr>
          <w:lang w:val="en-IE"/>
        </w:rPr>
        <w:t xml:space="preserve">feeding the karst network originates from precipitation falling on the </w:t>
      </w:r>
      <w:r w:rsidR="00816944">
        <w:rPr>
          <w:lang w:val="en-IE"/>
        </w:rPr>
        <w:t>m</w:t>
      </w:r>
      <w:r w:rsidRPr="00E67D31">
        <w:rPr>
          <w:lang w:val="en-IE"/>
        </w:rPr>
        <w:t>ountains. As this water runs off the mountains via the three main rivers down towards the lowlands, it starts to pick up alkalinity through dissolution but experiences relatively little nutrient enhancement</w:t>
      </w:r>
      <w:r w:rsidR="00A26691">
        <w:rPr>
          <w:lang w:val="en-IE"/>
        </w:rPr>
        <w:t>.</w:t>
      </w:r>
      <w:r w:rsidRPr="00E67D31">
        <w:rPr>
          <w:lang w:val="en-IE"/>
        </w:rPr>
        <w:t xml:space="preserve"> This lack of nutrient enhancement indicates only minor input from agricultural/forestry practices in the Mountains. </w:t>
      </w:r>
      <w:bookmarkStart w:id="8" w:name="_GoBack"/>
      <w:bookmarkEnd w:id="8"/>
    </w:p>
    <w:p w:rsidR="00777A4F" w:rsidRDefault="00777A4F" w:rsidP="00777A4F"/>
    <w:p w:rsidR="00A941A8" w:rsidRPr="00607AE7" w:rsidRDefault="00A941A8" w:rsidP="00A941A8">
      <w:pPr>
        <w:rPr>
          <w:lang w:val="en-IE"/>
        </w:rPr>
      </w:pPr>
      <w:r>
        <w:rPr>
          <w:lang w:val="en-IE"/>
        </w:rPr>
        <w:t>In the lowlands, the groundwater of the non-active diffuse portions of the limestone bedrock inevitably showed high levels of alkalinity with an average concentration of 365.1 mg/l CaCO</w:t>
      </w:r>
      <w:r>
        <w:rPr>
          <w:vertAlign w:val="subscript"/>
          <w:lang w:val="en-IE"/>
        </w:rPr>
        <w:t>3</w:t>
      </w:r>
      <w:r>
        <w:rPr>
          <w:lang w:val="en-IE"/>
        </w:rPr>
        <w:t xml:space="preserve">. The primary land use in these lowlands is agriculture and as such, there are significant additional sources of N and P which is reflected by the N concentration of groundwater having a mean value (2.3 </w:t>
      </w:r>
      <w:r w:rsidRPr="00607AE7">
        <w:rPr>
          <w:lang w:val="en-IE"/>
        </w:rPr>
        <w:t>mg/l) of double that found in the active conduit/turlough network (1.12 mg/l). N was also well distributed across the catchment due to the high mobility and solubility of NO</w:t>
      </w:r>
      <w:r w:rsidRPr="00607AE7">
        <w:rPr>
          <w:vertAlign w:val="subscript"/>
          <w:lang w:val="en-IE"/>
        </w:rPr>
        <w:t>3</w:t>
      </w:r>
      <w:r w:rsidRPr="00607AE7">
        <w:rPr>
          <w:lang w:val="en-IE"/>
        </w:rPr>
        <w:t>. Although the sources of P w</w:t>
      </w:r>
      <w:r w:rsidR="00014C2C" w:rsidRPr="00607AE7">
        <w:rPr>
          <w:lang w:val="en-IE"/>
        </w:rPr>
        <w:t xml:space="preserve">ould be equally as widespread, </w:t>
      </w:r>
      <w:r w:rsidRPr="00607AE7">
        <w:rPr>
          <w:lang w:val="en-IE"/>
        </w:rPr>
        <w:t xml:space="preserve">its ability to reach the groundwater is highly variable due to its poor mobility. As a result, concentrations of P in groundwater were highly erratic across the catchment. Water quality modelling estimated that the diffuse contribution of nutrient loads in the turloughs was approximately </w:t>
      </w:r>
      <w:r w:rsidR="001C1EF2" w:rsidRPr="00607AE7">
        <w:rPr>
          <w:lang w:val="en-IE"/>
        </w:rPr>
        <w:t>60</w:t>
      </w:r>
      <w:r w:rsidRPr="00607AE7">
        <w:rPr>
          <w:lang w:val="en-IE"/>
        </w:rPr>
        <w:t xml:space="preserve">% for N and </w:t>
      </w:r>
      <w:r w:rsidR="001C1EF2" w:rsidRPr="00607AE7">
        <w:rPr>
          <w:lang w:val="en-IE"/>
        </w:rPr>
        <w:t>30</w:t>
      </w:r>
      <w:r w:rsidRPr="00607AE7">
        <w:rPr>
          <w:lang w:val="en-IE"/>
        </w:rPr>
        <w:t>-</w:t>
      </w:r>
      <w:r w:rsidR="001C1EF2" w:rsidRPr="00607AE7">
        <w:rPr>
          <w:lang w:val="en-IE"/>
        </w:rPr>
        <w:t>40</w:t>
      </w:r>
      <w:r w:rsidRPr="00607AE7">
        <w:rPr>
          <w:lang w:val="en-IE"/>
        </w:rPr>
        <w:t xml:space="preserve">% for P. </w:t>
      </w:r>
    </w:p>
    <w:p w:rsidR="00E67D31" w:rsidRPr="00E67D31" w:rsidRDefault="00E67D31" w:rsidP="00E67D31">
      <w:pPr>
        <w:rPr>
          <w:lang w:val="en-IE"/>
        </w:rPr>
      </w:pPr>
    </w:p>
    <w:p w:rsidR="00A941A8" w:rsidRDefault="00A941A8" w:rsidP="00A941A8">
      <w:pPr>
        <w:rPr>
          <w:szCs w:val="22"/>
          <w:lang w:val="en-IE"/>
        </w:rPr>
      </w:pPr>
      <w:r>
        <w:rPr>
          <w:lang w:val="en-IE"/>
        </w:rPr>
        <w:t>In the conduit/turlough network, the water at the top of the system in Blackrock turlough had an alkalinity that matched its feeding river but the measured nutrient concentrations in the turlough exceeded those measured in the river, particularly for P. This suggests an internal source of nutrients such as from grazing animals or the nearby abattoir</w:t>
      </w:r>
      <w:r>
        <w:rPr>
          <w:szCs w:val="22"/>
          <w:lang w:val="en-IE"/>
        </w:rPr>
        <w:t xml:space="preserve"> and that the turlough acts a source of nutrients to the downstream karst system. As the water moves through the karst network from </w:t>
      </w:r>
      <w:r>
        <w:rPr>
          <w:szCs w:val="22"/>
          <w:lang w:val="en-IE"/>
        </w:rPr>
        <w:lastRenderedPageBreak/>
        <w:t xml:space="preserve">Blackrock through Coole towards Kinvara, the nutrients should be transported fairly conservatively in the turbulent flow conditions of the active conduits. N appeared to retain its concentration throughout while concentrations of P seem to drop </w:t>
      </w:r>
      <w:proofErr w:type="spellStart"/>
      <w:r>
        <w:rPr>
          <w:szCs w:val="22"/>
          <w:lang w:val="en-IE"/>
        </w:rPr>
        <w:t>en</w:t>
      </w:r>
      <w:proofErr w:type="spellEnd"/>
      <w:r>
        <w:rPr>
          <w:szCs w:val="22"/>
          <w:lang w:val="en-IE"/>
        </w:rPr>
        <w:t xml:space="preserve">-route. </w:t>
      </w:r>
    </w:p>
    <w:p w:rsidR="00E67D31" w:rsidRPr="003C7AB7" w:rsidRDefault="00E67D31" w:rsidP="00777A4F">
      <w:pPr>
        <w:rPr>
          <w:szCs w:val="22"/>
        </w:rPr>
      </w:pPr>
    </w:p>
    <w:p w:rsidR="00A941A8" w:rsidRDefault="00A941A8" w:rsidP="00A941A8">
      <w:pPr>
        <w:rPr>
          <w:szCs w:val="22"/>
          <w:lang w:val="en-IE"/>
        </w:rPr>
      </w:pPr>
      <w:r>
        <w:rPr>
          <w:szCs w:val="22"/>
          <w:lang w:val="en-IE"/>
        </w:rPr>
        <w:t>At Coole, the alkalinity and nutrient concentrations of the water reflected that of the combined flow from the three main rivers (with alkalinity suggesting some contribution from diffuse sources). Although Garryland turlough lies beside Coole and is known to be intimately hydraulically connected (particularly at high water levels), it shows evidence of influx from the Cloonteen catchment to the south. The influx of this high alkalinity, low nutrient water results in Garryland having the lowest nutrient concentrations of the five turloughs. Caherglassaun turlough however displayed nutrient concentrations very similar to Coole indicating the presence of a direct linkage, as opposed to Garryland which lies slightly off the main conduit line. As water moves onwards from Caherglassaun towards</w:t>
      </w:r>
      <w:r w:rsidR="00A67BB6">
        <w:rPr>
          <w:szCs w:val="22"/>
          <w:lang w:val="en-IE"/>
        </w:rPr>
        <w:t xml:space="preserve"> the</w:t>
      </w:r>
      <w:r>
        <w:rPr>
          <w:szCs w:val="22"/>
          <w:lang w:val="en-IE"/>
        </w:rPr>
        <w:t xml:space="preserve"> Kinvara West</w:t>
      </w:r>
      <w:r w:rsidR="00A67BB6">
        <w:rPr>
          <w:szCs w:val="22"/>
          <w:lang w:val="en-IE"/>
        </w:rPr>
        <w:t xml:space="preserve"> spring at the coast</w:t>
      </w:r>
      <w:r>
        <w:rPr>
          <w:szCs w:val="22"/>
          <w:lang w:val="en-IE"/>
        </w:rPr>
        <w:t xml:space="preserve">, nutrient concentrations dropped slightly (5% drop in TN, 13% drop in TP). This reduced concentration is likely due to the contribution of water from separate systems regions such as the Burren or the Cloonteen which tracing studies have proven to join the main conduit system at some point between Caherglassaun and Kinvara </w:t>
      </w:r>
      <w:r>
        <w:rPr>
          <w:szCs w:val="22"/>
          <w:lang w:val="en-IE"/>
        </w:rPr>
        <w:fldChar w:fldCharType="begin"/>
      </w:r>
      <w:r>
        <w:rPr>
          <w:szCs w:val="22"/>
          <w:lang w:val="en-IE"/>
        </w:rPr>
        <w:instrText xml:space="preserve"> ADDIN EN.CITE &lt;EndNote&gt;&lt;Cite&gt;&lt;Author&gt;Southern Water Global&lt;/Author&gt;&lt;Year&gt;1998&lt;/Year&gt;&lt;RecNum&gt;258&lt;/RecNum&gt;&lt;DisplayText&gt;(Southern Water Global, 1998)&lt;/DisplayText&gt;&lt;record&gt;&lt;rec-number&gt;258&lt;/rec-number&gt;&lt;foreign-keys&gt;&lt;key app="EN" db-id="dswvr2vdivtsvfepswzvft9gtsxe5zxfaavp" timestamp="1350834457"&gt;258&lt;/key&gt;&lt;/foreign-keys&gt;&lt;ref-type name="Journal Article"&gt;17&lt;/ref-type&gt;&lt;contributors&gt;&lt;authors&gt;&lt;author&gt;Southern Water Global,&lt;/author&gt;&lt;/authors&gt;&lt;/contributors&gt;&lt;titles&gt;&lt;title&gt;An investigation of the flooding problems in the Gort-Ardrahan area of South Galway.  Final Report, April 1998.  Produced by Southern Water Global and Jennings O`Donovan and Partners for the Office of Public Works, Dublin&lt;/title&gt;&lt;/titles&gt;&lt;keywords&gt;&lt;keyword&gt;Hydrology&lt;/keyword&gt;&lt;/keywords&gt;&lt;dates&gt;&lt;year&gt;1998&lt;/year&gt;&lt;/dates&gt;&lt;urls&gt;&lt;/urls&gt;&lt;/record&gt;&lt;/Cite&gt;&lt;/EndNote&gt;</w:instrText>
      </w:r>
      <w:r>
        <w:rPr>
          <w:szCs w:val="22"/>
          <w:lang w:val="en-IE"/>
        </w:rPr>
        <w:fldChar w:fldCharType="separate"/>
      </w:r>
      <w:r>
        <w:rPr>
          <w:szCs w:val="22"/>
          <w:lang w:val="en-IE"/>
        </w:rPr>
        <w:t>(</w:t>
      </w:r>
      <w:hyperlink w:anchor="_ENREF_38" w:tooltip="Southern Water Global, 1998 #258" w:history="1">
        <w:r w:rsidR="006B35EC" w:rsidRPr="00A941A8">
          <w:t>Southern Water Global, 1998</w:t>
        </w:r>
      </w:hyperlink>
      <w:r>
        <w:rPr>
          <w:szCs w:val="22"/>
          <w:lang w:val="en-IE"/>
        </w:rPr>
        <w:t>)</w:t>
      </w:r>
      <w:r>
        <w:rPr>
          <w:szCs w:val="22"/>
          <w:lang w:val="en-IE"/>
        </w:rPr>
        <w:fldChar w:fldCharType="end"/>
      </w:r>
    </w:p>
    <w:p w:rsidR="005972A8" w:rsidRPr="00C66A7F" w:rsidRDefault="005972A8" w:rsidP="00777A4F">
      <w:pPr>
        <w:rPr>
          <w:szCs w:val="22"/>
          <w:lang w:val="en-IE"/>
        </w:rPr>
      </w:pPr>
    </w:p>
    <w:p w:rsidR="000016B3" w:rsidRDefault="000016B3" w:rsidP="000016B3">
      <w:pPr>
        <w:pStyle w:val="Heading2"/>
      </w:pPr>
      <w:bookmarkStart w:id="9" w:name="_Ref389214510"/>
      <w:r>
        <w:t>Hydrochemical/Nutrient behaviour within turloughs</w:t>
      </w:r>
      <w:bookmarkEnd w:id="9"/>
    </w:p>
    <w:p w:rsidR="00A941A8" w:rsidRDefault="00A941A8" w:rsidP="00A941A8">
      <w:pPr>
        <w:rPr>
          <w:color w:val="FF0000"/>
          <w:szCs w:val="22"/>
          <w:lang w:val="en-IE"/>
        </w:rPr>
      </w:pPr>
      <w:r>
        <w:rPr>
          <w:lang w:val="en-IE"/>
        </w:rPr>
        <w:t xml:space="preserve">Hydrologically, turloughs sit within a spectrum of different types ranging from diffuse flow-through dominated to conduit dominated, although the majority of turloughs in Ireland </w:t>
      </w:r>
      <w:r w:rsidR="00832722">
        <w:rPr>
          <w:lang w:val="en-IE"/>
        </w:rPr>
        <w:t xml:space="preserve">have little or no allogenic recharge but are fed by local diffuse catchments and so fall into the </w:t>
      </w:r>
      <w:r>
        <w:rPr>
          <w:lang w:val="en-IE"/>
        </w:rPr>
        <w:t xml:space="preserve">diffuse </w:t>
      </w:r>
      <w:r w:rsidRPr="00A941A8">
        <w:rPr>
          <w:szCs w:val="22"/>
          <w:lang w:val="en-IE"/>
        </w:rPr>
        <w:t>flow-through category. The turloughs of</w:t>
      </w:r>
      <w:r>
        <w:rPr>
          <w:lang w:val="en-IE"/>
        </w:rPr>
        <w:t xml:space="preserve"> the Gort Lowlands, however, predominantly fall under the conduit dominated category. These turloughs are known to operate as river flow-through systems (Blackrock and Coole), or surcharge systems (Coy, Garryland and </w:t>
      </w:r>
      <w:r>
        <w:rPr>
          <w:szCs w:val="22"/>
          <w:lang w:val="en-IE"/>
        </w:rPr>
        <w:t xml:space="preserve">Caherglassaun), all of which are heavily controlled by conduit type hydraulics. Conceptually, the flow-through turloughs reflect the hydrochemistry of their feeding rivers whereas the surcharge tank turloughs can be isolated from any nutrient input (depending on the flood conditions). </w:t>
      </w:r>
    </w:p>
    <w:p w:rsidR="00716023" w:rsidRDefault="00716023" w:rsidP="005C47B2">
      <w:pPr>
        <w:rPr>
          <w:lang w:val="en-IE"/>
        </w:rPr>
      </w:pPr>
    </w:p>
    <w:p w:rsidR="0020623C" w:rsidRDefault="0020623C" w:rsidP="0020623C">
      <w:pPr>
        <w:pStyle w:val="Heading3"/>
        <w:rPr>
          <w:lang w:val="en-IE"/>
        </w:rPr>
      </w:pPr>
      <w:r>
        <w:rPr>
          <w:lang w:val="en-IE"/>
        </w:rPr>
        <w:t>Alkalinity</w:t>
      </w:r>
    </w:p>
    <w:p w:rsidR="00A941A8" w:rsidRPr="00CF395C" w:rsidRDefault="00A941A8" w:rsidP="00A941A8">
      <w:pPr>
        <w:rPr>
          <w:color w:val="FF0000"/>
          <w:sz w:val="20"/>
          <w:lang w:val="en-IE"/>
        </w:rPr>
      </w:pPr>
      <w:r>
        <w:rPr>
          <w:lang w:val="en-IE"/>
        </w:rPr>
        <w:t>In terms of alkalinity, the turloughs behaved somewhat as would be expected from the</w:t>
      </w:r>
      <w:r w:rsidR="00462EC2">
        <w:rPr>
          <w:lang w:val="en-IE"/>
        </w:rPr>
        <w:t>ir</w:t>
      </w:r>
      <w:r>
        <w:rPr>
          <w:lang w:val="en-IE"/>
        </w:rPr>
        <w:t xml:space="preserve"> conceptual</w:t>
      </w:r>
      <w:r w:rsidR="00462EC2">
        <w:rPr>
          <w:lang w:val="en-IE"/>
        </w:rPr>
        <w:t xml:space="preserve"> hydraulic </w:t>
      </w:r>
      <w:r>
        <w:rPr>
          <w:lang w:val="en-IE"/>
        </w:rPr>
        <w:t>model</w:t>
      </w:r>
      <w:r w:rsidR="00462EC2">
        <w:rPr>
          <w:lang w:val="en-IE"/>
        </w:rPr>
        <w:t>s</w:t>
      </w:r>
      <w:r>
        <w:rPr>
          <w:lang w:val="en-IE"/>
        </w:rPr>
        <w:t xml:space="preserve">. Blackrock and Coole turloughs showed signs of flow-through behaviour as evidenced by quick drops in alkalinity during a flooded period. Coy, Garryland and Caherglassaun, </w:t>
      </w:r>
      <w:r>
        <w:rPr>
          <w:lang w:val="en-IE"/>
        </w:rPr>
        <w:lastRenderedPageBreak/>
        <w:t>on the other hand, showed no such behaviour (as would be expected of a surcharge tank). The most noticeable trend, particularly for the surcharge tank turloughs, was the increase in alkalinity across the flooding season.</w:t>
      </w:r>
      <w:r>
        <w:rPr>
          <w:sz w:val="20"/>
          <w:lang w:val="en-IE"/>
        </w:rPr>
        <w:t xml:space="preserve"> </w:t>
      </w:r>
      <w:r>
        <w:rPr>
          <w:szCs w:val="22"/>
          <w:lang w:val="en-IE"/>
        </w:rPr>
        <w:t>As mentioned in Section</w:t>
      </w:r>
      <w:r w:rsidR="00B75A4F">
        <w:rPr>
          <w:szCs w:val="22"/>
          <w:lang w:val="en-IE"/>
        </w:rPr>
        <w:t xml:space="preserve"> </w:t>
      </w:r>
      <w:r w:rsidR="00B75A4F">
        <w:rPr>
          <w:szCs w:val="22"/>
          <w:lang w:val="en-IE"/>
        </w:rPr>
        <w:fldChar w:fldCharType="begin"/>
      </w:r>
      <w:r w:rsidR="00B75A4F">
        <w:rPr>
          <w:szCs w:val="22"/>
          <w:lang w:val="en-IE"/>
        </w:rPr>
        <w:instrText xml:space="preserve"> REF _Ref402793092 \r \h </w:instrText>
      </w:r>
      <w:r w:rsidR="00B75A4F">
        <w:rPr>
          <w:szCs w:val="22"/>
          <w:lang w:val="en-IE"/>
        </w:rPr>
      </w:r>
      <w:r w:rsidR="00B75A4F">
        <w:rPr>
          <w:szCs w:val="22"/>
          <w:lang w:val="en-IE"/>
        </w:rPr>
        <w:fldChar w:fldCharType="separate"/>
      </w:r>
      <w:r w:rsidR="00E40475">
        <w:rPr>
          <w:szCs w:val="22"/>
          <w:lang w:val="en-IE"/>
        </w:rPr>
        <w:t>4.1.1</w:t>
      </w:r>
      <w:r w:rsidR="00B75A4F">
        <w:rPr>
          <w:szCs w:val="22"/>
          <w:lang w:val="en-IE"/>
        </w:rPr>
        <w:fldChar w:fldCharType="end"/>
      </w:r>
      <w:r>
        <w:rPr>
          <w:szCs w:val="22"/>
          <w:lang w:val="en-IE"/>
        </w:rPr>
        <w:t>, this could be attributed to gradual recharge from the surrounding epikarst during recession due to a hydrological gradient between the turlough and its surrounding epikarst.</w:t>
      </w:r>
      <w:r w:rsidRPr="00CF395C">
        <w:rPr>
          <w:color w:val="FF0000"/>
          <w:szCs w:val="22"/>
          <w:lang w:val="en-IE"/>
        </w:rPr>
        <w:t xml:space="preserve"> </w:t>
      </w:r>
    </w:p>
    <w:p w:rsidR="00212769" w:rsidRDefault="00212769" w:rsidP="005C47B2">
      <w:pPr>
        <w:rPr>
          <w:lang w:val="en-IE"/>
        </w:rPr>
      </w:pPr>
    </w:p>
    <w:p w:rsidR="00212769" w:rsidRDefault="00212769" w:rsidP="00212769">
      <w:pPr>
        <w:pStyle w:val="Heading3"/>
        <w:rPr>
          <w:lang w:val="en-IE"/>
        </w:rPr>
      </w:pPr>
      <w:bookmarkStart w:id="10" w:name="_Ref387852389"/>
      <w:r>
        <w:rPr>
          <w:lang w:val="en-IE"/>
        </w:rPr>
        <w:t>Nitrogen</w:t>
      </w:r>
      <w:bookmarkEnd w:id="10"/>
    </w:p>
    <w:p w:rsidR="00E65BAD" w:rsidRDefault="00E65BAD" w:rsidP="00E65BAD">
      <w:pPr>
        <w:rPr>
          <w:lang w:val="en-IE"/>
        </w:rPr>
      </w:pPr>
      <w:r>
        <w:rPr>
          <w:lang w:val="en-IE"/>
        </w:rPr>
        <w:t xml:space="preserve">The typical pattern of N in turloughs is peak concentrations occurring in mid-winter (coinciding with peaks or near-peaks in water levels) followed by a reduction in concentrations (and load) throughout the spring and summer. This pattern is also reported in numerous permanent water bodies in Ireland such as Lough Bunny </w:t>
      </w:r>
      <w:r>
        <w:rPr>
          <w:lang w:val="en-IE"/>
        </w:rPr>
        <w:fldChar w:fldCharType="begin"/>
      </w:r>
      <w:r>
        <w:rPr>
          <w:lang w:val="en-IE"/>
        </w:rPr>
        <w:instrText xml:space="preserve"> ADDIN EN.CITE &lt;EndNote&gt;&lt;Cite&gt;&lt;Author&gt;Pybus&lt;/Author&gt;&lt;Year&gt;2003&lt;/Year&gt;&lt;RecNum&gt;471&lt;/RecNum&gt;&lt;DisplayText&gt;(Pybus et al., 2003)&lt;/DisplayText&gt;&lt;record&gt;&lt;rec-number&gt;471&lt;/rec-number&gt;&lt;foreign-keys&gt;&lt;key app="EN" db-id="dswvr2vdivtsvfepswzvft9gtsxe5zxfaavp" timestamp="1376240155"&gt;471&lt;/key&gt;&lt;/foreign-keys&gt;&lt;ref-type name="Journal Article"&gt;17&lt;/ref-type&gt;&lt;contributors&gt;&lt;authors&gt;&lt;author&gt;Pybus, C.&lt;/author&gt;&lt;author&gt;Pybus, M. J.&lt;/author&gt;&lt;author&gt;Ragneborn-Tough, L.&lt;/author&gt;&lt;/authors&gt;&lt;/contributors&gt;&lt;titles&gt;&lt;title&gt;Phytoplankton and Charophytes of Lough Bunny, Co. Clare&lt;/title&gt;&lt;secondary-title&gt;Biology and Environment: Proceedings of the Royal Irish Academy&lt;/secondary-title&gt;&lt;/titles&gt;&lt;periodical&gt;&lt;full-title&gt;Biology and Environment: Proceedings of the Royal Irish Academy&lt;/full-title&gt;&lt;/periodical&gt;&lt;pages&gt;177-185&lt;/pages&gt;&lt;volume&gt;103B&lt;/volume&gt;&lt;number&gt;3&lt;/number&gt;&lt;dates&gt;&lt;year&gt;2003&lt;/year&gt;&lt;/dates&gt;&lt;publisher&gt;Royal Irish Academy&lt;/publisher&gt;&lt;isbn&gt;07917945&lt;/isbn&gt;&lt;urls&gt;&lt;related-urls&gt;&lt;url&gt;http://www.jstor.org/stable/20500196&lt;/url&gt;&lt;/related-urls&gt;&lt;/urls&gt;&lt;electronic-resource-num&gt;10.2307/20500196&lt;/electronic-resource-num&gt;&lt;/record&gt;&lt;/Cite&gt;&lt;/EndNote&gt;</w:instrText>
      </w:r>
      <w:r>
        <w:rPr>
          <w:lang w:val="en-IE"/>
        </w:rPr>
        <w:fldChar w:fldCharType="separate"/>
      </w:r>
      <w:r>
        <w:rPr>
          <w:lang w:val="en-IE"/>
        </w:rPr>
        <w:t>(</w:t>
      </w:r>
      <w:hyperlink w:anchor="_ENREF_30" w:tooltip="Pybus, 2003 #471" w:history="1">
        <w:r w:rsidR="006B35EC" w:rsidRPr="00E65BAD">
          <w:t>Pybus et al., 2003</w:t>
        </w:r>
      </w:hyperlink>
      <w:r>
        <w:rPr>
          <w:lang w:val="en-IE"/>
        </w:rPr>
        <w:t>)</w:t>
      </w:r>
      <w:r>
        <w:rPr>
          <w:lang w:val="en-IE"/>
        </w:rPr>
        <w:fldChar w:fldCharType="end"/>
      </w:r>
      <w:r>
        <w:rPr>
          <w:lang w:val="en-IE"/>
        </w:rPr>
        <w:t xml:space="preserve"> and Lough </w:t>
      </w:r>
      <w:proofErr w:type="spellStart"/>
      <w:r>
        <w:rPr>
          <w:lang w:val="en-IE"/>
        </w:rPr>
        <w:t>Carra</w:t>
      </w:r>
      <w:proofErr w:type="spellEnd"/>
      <w:r>
        <w:rPr>
          <w:lang w:val="en-IE"/>
        </w:rPr>
        <w:t xml:space="preserve"> </w:t>
      </w:r>
      <w:r>
        <w:rPr>
          <w:lang w:val="en-IE"/>
        </w:rPr>
        <w:fldChar w:fldCharType="begin"/>
      </w:r>
      <w:r>
        <w:rPr>
          <w:lang w:val="en-IE"/>
        </w:rPr>
        <w:instrText xml:space="preserve"> ADDIN EN.CITE &lt;EndNote&gt;&lt;Cite&gt;&lt;Author&gt;King&lt;/Author&gt;&lt;Year&gt;2000&lt;/Year&gt;&lt;RecNum&gt;474&lt;/RecNum&gt;&lt;DisplayText&gt;(King and Champ, 2000)&lt;/DisplayText&gt;&lt;record&gt;&lt;rec-number&gt;474&lt;/rec-number&gt;&lt;foreign-keys&gt;&lt;key app="EN" db-id="dswvr2vdivtsvfepswzvft9gtsxe5zxfaavp" timestamp="1376242271"&gt;474&lt;/key&gt;&lt;/foreign-keys&gt;&lt;ref-type name="Journal Article"&gt;17&lt;/ref-type&gt;&lt;contributors&gt;&lt;authors&gt;&lt;author&gt;King, J.J.&lt;/author&gt;&lt;author&gt;Champ, W.S.T.&lt;/author&gt;&lt;/authors&gt;&lt;/contributors&gt;&lt;titles&gt;&lt;title&gt;Baseline water quality investigations on Lough Carra, Western Ireland, with reference to water chemistry, phytoplankton and aquatic plants.&lt;/title&gt;&lt;secondary-title&gt;Proceedings of the Royal Irish Academy - Biology and Environment&lt;/secondary-title&gt;&lt;/titles&gt;&lt;periodical&gt;&lt;full-title&gt;Proceedings of the Royal Irish Academy - Biology and Environment&lt;/full-title&gt;&lt;/periodical&gt;&lt;pages&gt;13-25&lt;/pages&gt;&lt;volume&gt;100B&lt;/volume&gt;&lt;dates&gt;&lt;year&gt;2000&lt;/year&gt;&lt;/dates&gt;&lt;urls&gt;&lt;/urls&gt;&lt;/record&gt;&lt;/Cite&gt;&lt;/EndNote&gt;</w:instrText>
      </w:r>
      <w:r>
        <w:rPr>
          <w:lang w:val="en-IE"/>
        </w:rPr>
        <w:fldChar w:fldCharType="separate"/>
      </w:r>
      <w:r>
        <w:rPr>
          <w:lang w:val="en-IE"/>
        </w:rPr>
        <w:t>(</w:t>
      </w:r>
      <w:hyperlink w:anchor="_ENREF_23" w:tooltip="King, 2000 #474" w:history="1">
        <w:r w:rsidR="006B35EC" w:rsidRPr="00E65BAD">
          <w:t>King and Champ, 2000</w:t>
        </w:r>
      </w:hyperlink>
      <w:r>
        <w:rPr>
          <w:lang w:val="en-IE"/>
        </w:rPr>
        <w:t>)</w:t>
      </w:r>
      <w:r>
        <w:rPr>
          <w:lang w:val="en-IE"/>
        </w:rPr>
        <w:fldChar w:fldCharType="end"/>
      </w:r>
      <w:r>
        <w:rPr>
          <w:lang w:val="en-IE"/>
        </w:rPr>
        <w:t xml:space="preserve"> as well as in Scotland </w:t>
      </w:r>
      <w:r w:rsidR="00A67BB6">
        <w:rPr>
          <w:lang w:val="en-IE"/>
        </w:rPr>
        <w:fldChar w:fldCharType="begin"/>
      </w:r>
      <w:r w:rsidR="00A67BB6">
        <w:rPr>
          <w:lang w:val="en-IE"/>
        </w:rPr>
        <w:instrText xml:space="preserve"> ADDIN EN.CITE &lt;EndNote&gt;&lt;Cite&gt;&lt;Author&gt;Petry&lt;/Author&gt;&lt;Year&gt;2002&lt;/Year&gt;&lt;RecNum&gt;472&lt;/RecNum&gt;&lt;DisplayText&gt;(Petry et al., 2002)&lt;/DisplayText&gt;&lt;record&gt;&lt;rec-number&gt;472&lt;/rec-number&gt;&lt;foreign-keys&gt;&lt;key app="EN" db-id="dswvr2vdivtsvfepswzvft9gtsxe5zxfaavp" timestamp="1376241287"&gt;472&lt;/key&gt;&lt;/foreign-keys&gt;&lt;ref-type name="Journal Article"&gt;17&lt;/ref-type&gt;&lt;contributors&gt;&lt;authors&gt;&lt;author&gt;Petry, J.&lt;/author&gt;&lt;author&gt;Soulsby, C.&lt;/author&gt;&lt;author&gt;Malcolm, I. A.&lt;/author&gt;&lt;author&gt;Youngson, A. F.&lt;/author&gt;&lt;/authors&gt;&lt;/contributors&gt;&lt;titles&gt;&lt;title&gt;Hydrological controls on nutrient concentrations and fluxes in agricultural catchments&lt;/title&gt;&lt;secondary-title&gt;Science of The Total Environment&lt;/secondary-title&gt;&lt;/titles&gt;&lt;periodical&gt;&lt;full-title&gt;Science of The Total Environment&lt;/full-title&gt;&lt;/periodical&gt;&lt;pages&gt;95-110&lt;/pages&gt;&lt;volume&gt;294&lt;/volume&gt;&lt;number&gt;1–3&lt;/number&gt;&lt;keywords&gt;&lt;keyword&gt;Nutrients&lt;/keyword&gt;&lt;keyword&gt;Hydrology&lt;/keyword&gt;&lt;keyword&gt;Nitrate&lt;/keyword&gt;&lt;keyword&gt;Phosphate&lt;/keyword&gt;&lt;keyword&gt;Mixing models&lt;/keyword&gt;&lt;/keywords&gt;&lt;dates&gt;&lt;year&gt;2002&lt;/year&gt;&lt;pub-dates&gt;&lt;date&gt;7/22/&lt;/date&gt;&lt;/pub-dates&gt;&lt;/dates&gt;&lt;isbn&gt;0048-9697&lt;/isbn&gt;&lt;urls&gt;&lt;related-urls&gt;&lt;url&gt;http://www.sciencedirect.com/science/article/pii/S004896970200058X&lt;/url&gt;&lt;/related-urls&gt;&lt;/urls&gt;&lt;electronic-resource-num&gt;http://dx.doi.org/10.1016/S0048-9697(02)00058-X&lt;/electronic-resource-num&gt;&lt;/record&gt;&lt;/Cite&gt;&lt;/EndNote&gt;</w:instrText>
      </w:r>
      <w:r w:rsidR="00A67BB6">
        <w:rPr>
          <w:lang w:val="en-IE"/>
        </w:rPr>
        <w:fldChar w:fldCharType="separate"/>
      </w:r>
      <w:r w:rsidR="00A67BB6">
        <w:rPr>
          <w:noProof/>
          <w:lang w:val="en-IE"/>
        </w:rPr>
        <w:t>(</w:t>
      </w:r>
      <w:hyperlink w:anchor="_ENREF_29" w:tooltip="Petry, 2002 #472" w:history="1">
        <w:r w:rsidR="006B35EC">
          <w:rPr>
            <w:noProof/>
            <w:lang w:val="en-IE"/>
          </w:rPr>
          <w:t>Petry et al., 2002</w:t>
        </w:r>
      </w:hyperlink>
      <w:r w:rsidR="00A67BB6">
        <w:rPr>
          <w:noProof/>
          <w:lang w:val="en-IE"/>
        </w:rPr>
        <w:t>)</w:t>
      </w:r>
      <w:r w:rsidR="00A67BB6">
        <w:rPr>
          <w:lang w:val="en-IE"/>
        </w:rPr>
        <w:fldChar w:fldCharType="end"/>
      </w:r>
      <w:r>
        <w:rPr>
          <w:lang w:val="en-IE"/>
        </w:rPr>
        <w:t xml:space="preserve"> and Wales </w:t>
      </w:r>
      <w:r w:rsidR="00A67BB6" w:rsidRPr="00E65BAD">
        <w:fldChar w:fldCharType="begin"/>
      </w:r>
      <w:r w:rsidR="00A67BB6">
        <w:instrText xml:space="preserve"> ADDIN EN.CITE &lt;EndNote&gt;&lt;Cite&gt;&lt;Author&gt;Reynolds&lt;/Author&gt;&lt;Year&gt;1992&lt;/Year&gt;&lt;RecNum&gt;473&lt;/RecNum&gt;&lt;DisplayText&gt;(Reynolds et al., 1992)&lt;/DisplayText&gt;&lt;record&gt;&lt;rec-number&gt;473&lt;/rec-number&gt;&lt;foreign-keys&gt;&lt;key app="EN" db-id="dswvr2vdivtsvfepswzvft9gtsxe5zxfaavp" timestamp="1376241395"&gt;473&lt;/key&gt;&lt;/foreign-keys&gt;&lt;ref-type name="Journal Article"&gt;17&lt;/ref-type&gt;&lt;contributors&gt;&lt;authors&gt;&lt;author&gt;Reynolds, B.&lt;/author&gt;&lt;author&gt;Emmett, B. A.&lt;/author&gt;&lt;author&gt;Woods, C.&lt;/author&gt;&lt;/authors&gt;&lt;/contributors&gt;&lt;titles&gt;&lt;title&gt;Variations in streamwater nitrate concentrations and nitrogen budgets over 10 years in a headwater catchment in mid-Wales&lt;/title&gt;&lt;secondary-title&gt;Journal of Hydrology&lt;/secondary-title&gt;&lt;/titles&gt;&lt;periodical&gt;&lt;full-title&gt;Journal of Hydrology&lt;/full-title&gt;&lt;/periodical&gt;&lt;pages&gt;155-175&lt;/pages&gt;&lt;volume&gt;136&lt;/volume&gt;&lt;number&gt;1–4&lt;/number&gt;&lt;dates&gt;&lt;year&gt;1992&lt;/year&gt;&lt;pub-dates&gt;&lt;date&gt;8/1/&lt;/date&gt;&lt;/pub-dates&gt;&lt;/dates&gt;&lt;isbn&gt;0022-1694&lt;/isbn&gt;&lt;urls&gt;&lt;related-urls&gt;&lt;url&gt;http://www.sciencedirect.com/science/article/pii/002216949290009K&lt;/url&gt;&lt;/related-urls&gt;&lt;/urls&gt;&lt;electronic-resource-num&gt;http://dx.doi.org/10.1016/0022-1694(92)90009-K&lt;/electronic-resource-num&gt;&lt;/record&gt;&lt;/Cite&gt;&lt;/EndNote&gt;</w:instrText>
      </w:r>
      <w:r w:rsidR="00A67BB6" w:rsidRPr="00E65BAD">
        <w:fldChar w:fldCharType="separate"/>
      </w:r>
      <w:r w:rsidR="00A67BB6">
        <w:rPr>
          <w:noProof/>
        </w:rPr>
        <w:t>(</w:t>
      </w:r>
      <w:hyperlink w:anchor="_ENREF_33" w:tooltip="Reynolds, 1992 #473" w:history="1">
        <w:r w:rsidR="006B35EC">
          <w:rPr>
            <w:noProof/>
          </w:rPr>
          <w:t>Reynolds et al., 1992</w:t>
        </w:r>
      </w:hyperlink>
      <w:r w:rsidR="00A67BB6">
        <w:rPr>
          <w:noProof/>
        </w:rPr>
        <w:t>)</w:t>
      </w:r>
      <w:r w:rsidR="00A67BB6" w:rsidRPr="00E65BAD">
        <w:fldChar w:fldCharType="end"/>
      </w:r>
      <w:r>
        <w:rPr>
          <w:lang w:val="en-IE"/>
        </w:rPr>
        <w:t xml:space="preserve">.  The trend is usually explained by reduced effective rainfall and increased plant and microbial N-uptake in the catchments during the growing season (late spring to early autumn) and the reverse process occurring in the late autumn and winter </w:t>
      </w:r>
      <w:r>
        <w:rPr>
          <w:lang w:val="en-IE"/>
        </w:rPr>
        <w:fldChar w:fldCharType="begin"/>
      </w:r>
      <w:r w:rsidR="003770AA">
        <w:rPr>
          <w:lang w:val="en-IE"/>
        </w:rPr>
        <w:instrText xml:space="preserve"> ADDIN EN.CITE &lt;EndNote&gt;&lt;Cite&gt;&lt;Author&gt;Cunha Pereira&lt;/Author&gt;&lt;Year&gt;2011&lt;/Year&gt;&lt;RecNum&gt;444&lt;/RecNum&gt;&lt;DisplayText&gt;(Cunha Pereira, 2011;Kaste et al., 2003)&lt;/DisplayText&gt;&lt;record&gt;&lt;rec-number&gt;444&lt;/rec-number&gt;&lt;foreign-keys&gt;&lt;key app="EN" db-id="dswvr2vdivtsvfepswzvft9gtsxe5zxfaavp" timestamp="1372780081"&gt;444&lt;/key&gt;&lt;/foreign-keys&gt;&lt;ref-type name="Thesis"&gt;32&lt;/ref-type&gt;&lt;contributors&gt;&lt;authors&gt;&lt;author&gt;Cunha Pereira, H.&lt;/author&gt;&lt;/authors&gt;&lt;/contributors&gt;&lt;titles&gt;&lt;title&gt;Hydrochemistry and Algal Communities of Turloughs (Karst Seasonal Lakes)&lt;/title&gt;&lt;secondary-title&gt;Centre for the Environment&lt;/secondary-title&gt;&lt;/titles&gt;&lt;dates&gt;&lt;year&gt;2011&lt;/year&gt;&lt;/dates&gt;&lt;publisher&gt;Trinity College Dublin&lt;/publisher&gt;&lt;work-type&gt;PhD&lt;/work-type&gt;&lt;urls&gt;&lt;/urls&gt;&lt;/record&gt;&lt;/Cite&gt;&lt;Cite&gt;&lt;Author&gt;Kaste&lt;/Author&gt;&lt;Year&gt;2003&lt;/Year&gt;&lt;RecNum&gt;475&lt;/RecNum&gt;&lt;record&gt;&lt;rec-number&gt;475&lt;/rec-number&gt;&lt;foreign-keys&gt;&lt;key app="EN" db-id="dswvr2vdivtsvfepswzvft9gtsxe5zxfaavp" timestamp="1376243037"&gt;475&lt;/key&gt;&lt;/foreign-keys&gt;&lt;ref-type name="Journal Article"&gt;17&lt;/ref-type&gt;&lt;contributors&gt;&lt;authors&gt;&lt;author&gt;Kaste, O.&lt;/author&gt;&lt;author&gt;Stoddard, J. L. &lt;/author&gt;&lt;author&gt;Henriksen, A.&lt;/author&gt;&lt;/authors&gt;&lt;/contributors&gt;&lt;titles&gt;&lt;title&gt;Implication of lake water residence time on the classification of Norwegian surface water sites into progressive stages of nitrogen saturation&lt;/title&gt;&lt;secondary-title&gt;Water Air and Soil Pollution&lt;/secondary-title&gt;&lt;/titles&gt;&lt;periodical&gt;&lt;full-title&gt;Water Air and Soil Pollution&lt;/full-title&gt;&lt;/periodical&gt;&lt;volume&gt;142&lt;/volume&gt;&lt;number&gt;409-424&lt;/number&gt;&lt;dates&gt;&lt;year&gt;2003&lt;/year&gt;&lt;/dates&gt;&lt;urls&gt;&lt;/urls&gt;&lt;/record&gt;&lt;/Cite&gt;&lt;/EndNote&gt;</w:instrText>
      </w:r>
      <w:r>
        <w:rPr>
          <w:lang w:val="en-IE"/>
        </w:rPr>
        <w:fldChar w:fldCharType="separate"/>
      </w:r>
      <w:r w:rsidR="003770AA">
        <w:rPr>
          <w:noProof/>
          <w:lang w:val="en-IE"/>
        </w:rPr>
        <w:t>(</w:t>
      </w:r>
      <w:hyperlink w:anchor="_ENREF_7" w:tooltip="Cunha Pereira, 2011 #444" w:history="1">
        <w:r w:rsidR="006B35EC">
          <w:rPr>
            <w:noProof/>
            <w:lang w:val="en-IE"/>
          </w:rPr>
          <w:t>Cunha Pereira, 2011</w:t>
        </w:r>
      </w:hyperlink>
      <w:r w:rsidR="003770AA">
        <w:rPr>
          <w:noProof/>
          <w:lang w:val="en-IE"/>
        </w:rPr>
        <w:t>;</w:t>
      </w:r>
      <w:r w:rsidR="00462EC2">
        <w:rPr>
          <w:noProof/>
          <w:lang w:val="en-IE"/>
        </w:rPr>
        <w:t xml:space="preserve"> </w:t>
      </w:r>
      <w:hyperlink w:anchor="_ENREF_19" w:tooltip="Kaste, 2003 #475" w:history="1">
        <w:r w:rsidR="006B35EC">
          <w:rPr>
            <w:noProof/>
            <w:lang w:val="en-IE"/>
          </w:rPr>
          <w:t>Kaste et al., 2003</w:t>
        </w:r>
      </w:hyperlink>
      <w:r w:rsidR="003770AA">
        <w:rPr>
          <w:noProof/>
          <w:lang w:val="en-IE"/>
        </w:rPr>
        <w:t>)</w:t>
      </w:r>
      <w:r>
        <w:rPr>
          <w:lang w:val="en-IE"/>
        </w:rPr>
        <w:fldChar w:fldCharType="end"/>
      </w:r>
      <w:r>
        <w:rPr>
          <w:lang w:val="en-IE"/>
        </w:rPr>
        <w:t xml:space="preserve">. This pattern would thus be expected of Blackrock and Coole turloughs (as they should reflect the N of the water feeding them), and indeed was seen for the most part. Interestingly however, the trend can also be seen in Coy, Garryland and Caherglassaun turloughs. This suggests that N is being lost from these turloughs by some </w:t>
      </w:r>
      <w:r w:rsidR="00832722">
        <w:rPr>
          <w:lang w:val="en-IE"/>
        </w:rPr>
        <w:t xml:space="preserve">other </w:t>
      </w:r>
      <w:r>
        <w:rPr>
          <w:lang w:val="en-IE"/>
        </w:rPr>
        <w:t>process.</w:t>
      </w:r>
    </w:p>
    <w:p w:rsidR="0054184A" w:rsidRPr="00554078" w:rsidRDefault="0054184A" w:rsidP="00554078">
      <w:pPr>
        <w:rPr>
          <w:lang w:val="en-IE"/>
        </w:rPr>
      </w:pPr>
    </w:p>
    <w:p w:rsidR="001C6AA1" w:rsidRDefault="0054184A" w:rsidP="0054184A">
      <w:pPr>
        <w:rPr>
          <w:lang w:val="en-IE"/>
        </w:rPr>
      </w:pPr>
      <w:r w:rsidRPr="0054184A">
        <w:rPr>
          <w:lang w:val="en-IE"/>
        </w:rPr>
        <w:t>Losses of N from lakes are typically explained by three main processes: (a) net loss with outflowing water (i.e. flow-through), (b) permanent loss of inorganic and organic nitrogen-containing compounds to the sediments, and (c), reduction of NO</w:t>
      </w:r>
      <w:r w:rsidRPr="0054184A">
        <w:rPr>
          <w:vertAlign w:val="subscript"/>
          <w:lang w:val="en-IE"/>
        </w:rPr>
        <w:t>3</w:t>
      </w:r>
      <w:r w:rsidRPr="0054184A">
        <w:rPr>
          <w:lang w:val="en-IE"/>
        </w:rPr>
        <w:t xml:space="preserve"> to N</w:t>
      </w:r>
      <w:r w:rsidRPr="0054184A">
        <w:rPr>
          <w:vertAlign w:val="subscript"/>
          <w:lang w:val="en-IE"/>
        </w:rPr>
        <w:t>2</w:t>
      </w:r>
      <w:r w:rsidRPr="0054184A">
        <w:rPr>
          <w:lang w:val="en-IE"/>
        </w:rPr>
        <w:t xml:space="preserve"> by bacterial denitrification and subsequent return of N</w:t>
      </w:r>
      <w:r w:rsidRPr="0054184A">
        <w:rPr>
          <w:vertAlign w:val="subscript"/>
          <w:lang w:val="en-IE"/>
        </w:rPr>
        <w:t>2</w:t>
      </w:r>
      <w:r w:rsidRPr="0054184A">
        <w:rPr>
          <w:lang w:val="en-IE"/>
        </w:rPr>
        <w:t xml:space="preserve"> to the atmosphere </w:t>
      </w:r>
      <w:r w:rsidRPr="0054184A">
        <w:rPr>
          <w:lang w:val="en-IE"/>
        </w:rPr>
        <w:fldChar w:fldCharType="begin"/>
      </w:r>
      <w:r w:rsidR="00171667">
        <w:rPr>
          <w:lang w:val="en-IE"/>
        </w:rPr>
        <w:instrText xml:space="preserve"> ADDIN EN.CITE &lt;EndNote&gt;&lt;Cite&gt;&lt;Author&gt;Wetzel&lt;/Author&gt;&lt;Year&gt;2001&lt;/Year&gt;&lt;RecNum&gt;488&lt;/RecNum&gt;&lt;DisplayText&gt;(Wetzel, 2001)&lt;/DisplayText&gt;&lt;record&gt;&lt;rec-number&gt;488&lt;/rec-number&gt;&lt;foreign-keys&gt;&lt;key app="EN" db-id="dswvr2vdivtsvfepswzvft9gtsxe5zxfaavp" timestamp="1377965043"&gt;488&lt;/key&gt;&lt;/foreign-keys&gt;&lt;ref-type name="Book"&gt;6&lt;/ref-type&gt;&lt;contributors&gt;&lt;authors&gt;&lt;author&gt;Wetzel, R.G.&lt;/author&gt;&lt;/authors&gt;&lt;/contributors&gt;&lt;titles&gt;&lt;title&gt;Limnology: Lake and River Ecosystems&lt;/title&gt;&lt;/titles&gt;&lt;dates&gt;&lt;year&gt;2001&lt;/year&gt;&lt;/dates&gt;&lt;pub-location&gt;San Diego, CA, USA.&lt;/pub-location&gt;&lt;publisher&gt;Academic Press&lt;/publisher&gt;&lt;urls&gt;&lt;/urls&gt;&lt;/record&gt;&lt;/Cite&gt;&lt;/EndNote&gt;</w:instrText>
      </w:r>
      <w:r w:rsidRPr="0054184A">
        <w:rPr>
          <w:lang w:val="en-IE"/>
        </w:rPr>
        <w:fldChar w:fldCharType="separate"/>
      </w:r>
      <w:r w:rsidRPr="0054184A">
        <w:rPr>
          <w:noProof/>
          <w:lang w:val="en-IE"/>
        </w:rPr>
        <w:t>(</w:t>
      </w:r>
      <w:hyperlink w:anchor="_ENREF_42" w:tooltip="Wetzel, 2001 #488" w:history="1">
        <w:r w:rsidR="006B35EC" w:rsidRPr="0054184A">
          <w:rPr>
            <w:noProof/>
            <w:lang w:val="en-IE"/>
          </w:rPr>
          <w:t>Wetzel, 2001</w:t>
        </w:r>
      </w:hyperlink>
      <w:r w:rsidRPr="0054184A">
        <w:rPr>
          <w:noProof/>
          <w:lang w:val="en-IE"/>
        </w:rPr>
        <w:t>)</w:t>
      </w:r>
      <w:r w:rsidRPr="0054184A">
        <w:rPr>
          <w:lang w:val="en-IE"/>
        </w:rPr>
        <w:fldChar w:fldCharType="end"/>
      </w:r>
      <w:r w:rsidRPr="0054184A">
        <w:rPr>
          <w:lang w:val="en-IE"/>
        </w:rPr>
        <w:t>. These p</w:t>
      </w:r>
      <w:r w:rsidR="00832722">
        <w:rPr>
          <w:lang w:val="en-IE"/>
        </w:rPr>
        <w:t>r</w:t>
      </w:r>
      <w:r w:rsidRPr="0054184A">
        <w:rPr>
          <w:lang w:val="en-IE"/>
        </w:rPr>
        <w:t>o</w:t>
      </w:r>
      <w:r w:rsidR="00832722">
        <w:rPr>
          <w:lang w:val="en-IE"/>
        </w:rPr>
        <w:t>c</w:t>
      </w:r>
      <w:r w:rsidRPr="0054184A">
        <w:rPr>
          <w:lang w:val="en-IE"/>
        </w:rPr>
        <w:t>esses are of additional importance within the Gort Lowland</w:t>
      </w:r>
      <w:r w:rsidR="00E65BAD">
        <w:rPr>
          <w:lang w:val="en-IE"/>
        </w:rPr>
        <w:t>s</w:t>
      </w:r>
      <w:r w:rsidRPr="0054184A">
        <w:rPr>
          <w:lang w:val="en-IE"/>
        </w:rPr>
        <w:t xml:space="preserve"> as the limiting nutrient in these turloughs has been shown to be N rather than P </w:t>
      </w:r>
      <w:r w:rsidRPr="0054184A">
        <w:rPr>
          <w:lang w:val="en-IE"/>
        </w:rPr>
        <w:fldChar w:fldCharType="begin"/>
      </w:r>
      <w:r w:rsidR="00171667">
        <w:rPr>
          <w:lang w:val="en-IE"/>
        </w:rPr>
        <w:instrText xml:space="preserve"> ADDIN EN.CITE &lt;EndNote&gt;&lt;Cite&gt;&lt;Author&gt;Cunha Pereira&lt;/Author&gt;&lt;Year&gt;2010&lt;/Year&gt;&lt;RecNum&gt;51&lt;/RecNum&gt;&lt;DisplayText&gt;(Cunha Pereira et al., 2010)&lt;/DisplayText&gt;&lt;record&gt;&lt;rec-number&gt;51&lt;/rec-number&gt;&lt;foreign-keys&gt;&lt;key app="EN" db-id="dswvr2vdivtsvfepswzvft9gtsxe5zxfaavp" timestamp="1310565627"&gt;51&lt;/key&gt;&lt;/foreign-keys&gt;&lt;ref-type name="Journal Article"&gt;17&lt;/ref-type&gt;&lt;contributors&gt;&lt;authors&gt;&lt;author&gt;Cunha Pereira, H.&lt;/author&gt;&lt;author&gt;Allott, N.&lt;/author&gt;&lt;author&gt;Coxon, C.E.&lt;/author&gt;&lt;/authors&gt;&lt;/contributors&gt;&lt;titles&gt;&lt;title&gt;Are seasonal lakes as productive as permanent lakes? A case study from Ireland&lt;/title&gt;&lt;secondary-title&gt;Canadian Journal of Fisheries and Aquatic Sciences&lt;/secondary-title&gt;&lt;/titles&gt;&lt;periodical&gt;&lt;full-title&gt;Canadian Journal of Fisheries and Aquatic Sciences&lt;/full-title&gt;&lt;/periodical&gt;&lt;pages&gt;1291-1302&lt;/pages&gt;&lt;volume&gt;67&lt;/volume&gt;&lt;number&gt;8&lt;/number&gt;&lt;dates&gt;&lt;year&gt;2010&lt;/year&gt;&lt;/dates&gt;&lt;urls&gt;&lt;related-urls&gt;&lt;url&gt;http://www.nrcresearchpress.com/doi/abs/10.1139/F10-062&lt;/url&gt;&lt;/related-urls&gt;&lt;/urls&gt;&lt;electronic-resource-num&gt;doi:10.1139/F10-062&lt;/electronic-resource-num&gt;&lt;/record&gt;&lt;/Cite&gt;&lt;/EndNote&gt;</w:instrText>
      </w:r>
      <w:r w:rsidRPr="0054184A">
        <w:rPr>
          <w:lang w:val="en-IE"/>
        </w:rPr>
        <w:fldChar w:fldCharType="separate"/>
      </w:r>
      <w:r w:rsidRPr="0054184A">
        <w:rPr>
          <w:noProof/>
          <w:lang w:val="en-IE"/>
        </w:rPr>
        <w:t>(</w:t>
      </w:r>
      <w:hyperlink w:anchor="_ENREF_6" w:tooltip="Cunha Pereira, 2010 #51" w:history="1">
        <w:r w:rsidR="006B35EC" w:rsidRPr="0054184A">
          <w:rPr>
            <w:noProof/>
            <w:lang w:val="en-IE"/>
          </w:rPr>
          <w:t>Cunha Pereira et al., 2010</w:t>
        </w:r>
      </w:hyperlink>
      <w:r w:rsidRPr="0054184A">
        <w:rPr>
          <w:noProof/>
          <w:lang w:val="en-IE"/>
        </w:rPr>
        <w:t>)</w:t>
      </w:r>
      <w:r w:rsidRPr="0054184A">
        <w:rPr>
          <w:lang w:val="en-IE"/>
        </w:rPr>
        <w:fldChar w:fldCharType="end"/>
      </w:r>
      <w:r w:rsidRPr="0054184A">
        <w:rPr>
          <w:lang w:val="en-IE"/>
        </w:rPr>
        <w:t xml:space="preserve">. An additional complication for N cycling in turloughs is the shift from flooded and dry phases which result in fluctuation between aerobic and anaerobic soil conditions. </w:t>
      </w:r>
    </w:p>
    <w:p w:rsidR="001C6AA1" w:rsidRDefault="001C6AA1" w:rsidP="0054184A">
      <w:pPr>
        <w:rPr>
          <w:lang w:val="en-IE"/>
        </w:rPr>
      </w:pPr>
    </w:p>
    <w:p w:rsidR="00BE0383" w:rsidRDefault="001C6AA1" w:rsidP="00BE0383">
      <w:pPr>
        <w:rPr>
          <w:szCs w:val="22"/>
          <w:lang w:val="en-IE"/>
        </w:rPr>
      </w:pPr>
      <w:r>
        <w:rPr>
          <w:lang w:val="en-IE"/>
        </w:rPr>
        <w:t xml:space="preserve">For the majority of turloughs in Ireland, which operate as diffuse flow-through systems, the most </w:t>
      </w:r>
      <w:r w:rsidR="008229D5">
        <w:rPr>
          <w:lang w:val="en-IE"/>
        </w:rPr>
        <w:t>likely</w:t>
      </w:r>
      <w:r>
        <w:rPr>
          <w:lang w:val="en-IE"/>
        </w:rPr>
        <w:t xml:space="preserve"> </w:t>
      </w:r>
      <w:r w:rsidRPr="00161195">
        <w:rPr>
          <w:lang w:val="en-IE"/>
        </w:rPr>
        <w:t>explanation for a decline of N concentration is due to an equivalent decline in N concentration from the inflowing water.</w:t>
      </w:r>
      <w:r w:rsidR="00E51F98" w:rsidRPr="00161195">
        <w:rPr>
          <w:lang w:val="en-IE"/>
        </w:rPr>
        <w:t xml:space="preserve"> </w:t>
      </w:r>
      <w:r w:rsidR="00BE0383" w:rsidRPr="00161195">
        <w:rPr>
          <w:lang w:val="en-IE"/>
        </w:rPr>
        <w:t xml:space="preserve">Mass balance calculations carried out by </w:t>
      </w:r>
      <w:hyperlink w:anchor="_ENREF_26" w:tooltip="Naughton, 2011 #405" w:history="1">
        <w:r w:rsidR="006B35EC" w:rsidRPr="00161195">
          <w:rPr>
            <w:lang w:val="en-IE"/>
          </w:rPr>
          <w:fldChar w:fldCharType="begin"/>
        </w:r>
        <w:r w:rsidR="006B35EC" w:rsidRPr="00161195">
          <w:rPr>
            <w:lang w:val="en-IE"/>
          </w:rPr>
          <w:instrText xml:space="preserve"> ADDIN EN.CITE &lt;EndNote&gt;&lt;Cite AuthorYear="1"&gt;&lt;Author&gt;Naughton&lt;/Author&gt;&lt;Year&gt;2011&lt;/Year&gt;&lt;RecNum&gt;405&lt;/RecNum&gt;&lt;DisplayText&gt;Naughton (2011)&lt;/DisplayText&gt;&lt;record&gt;&lt;rec-number&gt;405&lt;/rec-number&gt;&lt;foreign-keys&gt;&lt;key app="EN" db-id="dswvr2vdivtsvfepswzvft9gtsxe5zxfaavp" timestamp="1368632274"&gt;405&lt;/key&gt;&lt;/foreign-keys&gt;&lt;ref-type name="Thesis"&gt;32&lt;/ref-type&gt;&lt;contributors&gt;&lt;authors&gt;&lt;author&gt;Naughton, O.&lt;/author&gt;&lt;/authors&gt;&lt;/contributors&gt;&lt;titles&gt;&lt;title&gt;The Hydrology and Hydroecology of Turloughs&lt;/title&gt;&lt;secondary-title&gt;Department of Civil, Structural and Environmental Engineering&lt;/secondary-title&gt;&lt;/titles&gt;&lt;dates&gt;&lt;year&gt;2011&lt;/year&gt;&lt;/dates&gt;&lt;publisher&gt;University of Dublin, Trinity College, Ireland.&lt;/publisher&gt;&lt;work-type&gt;PhD&lt;/work-type&gt;&lt;urls&gt;&lt;/urls&gt;&lt;/record&gt;&lt;/Cite&gt;&lt;/EndNote&gt;</w:instrText>
        </w:r>
        <w:r w:rsidR="006B35EC" w:rsidRPr="00161195">
          <w:rPr>
            <w:lang w:val="en-IE"/>
          </w:rPr>
          <w:fldChar w:fldCharType="separate"/>
        </w:r>
        <w:r w:rsidR="006B35EC" w:rsidRPr="00161195">
          <w:rPr>
            <w:noProof/>
            <w:lang w:val="en-IE"/>
          </w:rPr>
          <w:t>Naughton (2011)</w:t>
        </w:r>
        <w:r w:rsidR="006B35EC" w:rsidRPr="00161195">
          <w:rPr>
            <w:lang w:val="en-IE"/>
          </w:rPr>
          <w:fldChar w:fldCharType="end"/>
        </w:r>
      </w:hyperlink>
      <w:r w:rsidR="00BE0383" w:rsidRPr="00161195">
        <w:rPr>
          <w:lang w:val="en-IE"/>
        </w:rPr>
        <w:t xml:space="preserve"> showed that in order for dilution to be the main process responsible for lowering TN concentrations, </w:t>
      </w:r>
      <w:r w:rsidR="00BE0383" w:rsidRPr="00161195">
        <w:rPr>
          <w:lang w:val="en-IE"/>
        </w:rPr>
        <w:lastRenderedPageBreak/>
        <w:t>an extremely high level of turnover is required during the recession period. Blackrock turlough was shown to need a turnover of 15% within a mont</w:t>
      </w:r>
      <w:r w:rsidR="00801DB7">
        <w:rPr>
          <w:lang w:val="en-IE"/>
        </w:rPr>
        <w:t xml:space="preserve">h while </w:t>
      </w:r>
      <w:proofErr w:type="spellStart"/>
      <w:r w:rsidR="00801DB7">
        <w:rPr>
          <w:lang w:val="en-IE"/>
        </w:rPr>
        <w:t>Lisduff</w:t>
      </w:r>
      <w:proofErr w:type="spellEnd"/>
      <w:r w:rsidR="00801DB7">
        <w:rPr>
          <w:lang w:val="en-IE"/>
        </w:rPr>
        <w:t xml:space="preserve"> turlough (in </w:t>
      </w:r>
      <w:r w:rsidR="00801DB7" w:rsidRPr="007D2368">
        <w:rPr>
          <w:highlight w:val="cyan"/>
          <w:lang w:val="en-IE"/>
        </w:rPr>
        <w:t>County</w:t>
      </w:r>
      <w:r w:rsidR="00BE0383" w:rsidRPr="00161195">
        <w:rPr>
          <w:lang w:val="en-IE"/>
        </w:rPr>
        <w:t xml:space="preserve"> Roscommon) needed up to 55% turnover. These calculations were also based on the unrealistic assumption that the diluting water would have negligible nutrient concentration. Based on these calculations, </w:t>
      </w:r>
      <w:hyperlink w:anchor="_ENREF_26" w:tooltip="Naughton, 2011 #405" w:history="1">
        <w:r w:rsidR="006B35EC" w:rsidRPr="00161195">
          <w:rPr>
            <w:lang w:val="en-IE"/>
          </w:rPr>
          <w:fldChar w:fldCharType="begin"/>
        </w:r>
        <w:r w:rsidR="006B35EC" w:rsidRPr="00161195">
          <w:rPr>
            <w:lang w:val="en-IE"/>
          </w:rPr>
          <w:instrText xml:space="preserve"> ADDIN EN.CITE &lt;EndNote&gt;&lt;Cite AuthorYear="1"&gt;&lt;Author&gt;Naughton&lt;/Author&gt;&lt;Year&gt;2011&lt;/Year&gt;&lt;RecNum&gt;405&lt;/RecNum&gt;&lt;DisplayText&gt;Naughton (2011)&lt;/DisplayText&gt;&lt;record&gt;&lt;rec-number&gt;405&lt;/rec-number&gt;&lt;foreign-keys&gt;&lt;key app="EN" db-id="dswvr2vdivtsvfepswzvft9gtsxe5zxfaavp" timestamp="1368632274"&gt;405&lt;/key&gt;&lt;/foreign-keys&gt;&lt;ref-type name="Thesis"&gt;32&lt;/ref-type&gt;&lt;contributors&gt;&lt;authors&gt;&lt;author&gt;Naughton, O.&lt;/author&gt;&lt;/authors&gt;&lt;/contributors&gt;&lt;titles&gt;&lt;title&gt;The Hydrology and Hydroecology of Turloughs&lt;/title&gt;&lt;secondary-title&gt;Department of Civil, Structural and Environmental Engineering&lt;/secondary-title&gt;&lt;/titles&gt;&lt;dates&gt;&lt;year&gt;2011&lt;/year&gt;&lt;/dates&gt;&lt;publisher&gt;University of Dublin, Trinity College, Ireland.&lt;/publisher&gt;&lt;work-type&gt;PhD&lt;/work-type&gt;&lt;urls&gt;&lt;/urls&gt;&lt;/record&gt;&lt;/Cite&gt;&lt;/EndNote&gt;</w:instrText>
        </w:r>
        <w:r w:rsidR="006B35EC" w:rsidRPr="00161195">
          <w:rPr>
            <w:lang w:val="en-IE"/>
          </w:rPr>
          <w:fldChar w:fldCharType="separate"/>
        </w:r>
        <w:r w:rsidR="006B35EC" w:rsidRPr="00161195">
          <w:rPr>
            <w:noProof/>
            <w:lang w:val="en-IE"/>
          </w:rPr>
          <w:t>Naughton (2011)</w:t>
        </w:r>
        <w:r w:rsidR="006B35EC" w:rsidRPr="00161195">
          <w:rPr>
            <w:lang w:val="en-IE"/>
          </w:rPr>
          <w:fldChar w:fldCharType="end"/>
        </w:r>
      </w:hyperlink>
      <w:r w:rsidR="00BE0383" w:rsidRPr="00161195">
        <w:rPr>
          <w:lang w:val="en-IE"/>
        </w:rPr>
        <w:t xml:space="preserve"> concluded that, while </w:t>
      </w:r>
      <w:r w:rsidR="00832722">
        <w:rPr>
          <w:lang w:val="en-IE"/>
        </w:rPr>
        <w:t xml:space="preserve">some degree of </w:t>
      </w:r>
      <w:r w:rsidR="00BE0383" w:rsidRPr="00161195">
        <w:rPr>
          <w:lang w:val="en-IE"/>
        </w:rPr>
        <w:t>flow</w:t>
      </w:r>
      <w:r w:rsidR="00BE0383" w:rsidRPr="00BE0383">
        <w:rPr>
          <w:lang w:val="en-IE"/>
        </w:rPr>
        <w:t xml:space="preserve">-through behaviour is </w:t>
      </w:r>
      <w:r w:rsidR="00832722">
        <w:rPr>
          <w:lang w:val="en-IE"/>
        </w:rPr>
        <w:t xml:space="preserve">inevitably </w:t>
      </w:r>
      <w:r w:rsidR="00BE0383" w:rsidRPr="00BE0383">
        <w:rPr>
          <w:lang w:val="en-IE"/>
        </w:rPr>
        <w:t xml:space="preserve">occurring, other N reduction processes are also likely to be taking place. </w:t>
      </w:r>
      <w:r w:rsidR="00BE0383" w:rsidRPr="00BE0383">
        <w:rPr>
          <w:szCs w:val="22"/>
          <w:lang w:val="en-IE"/>
        </w:rPr>
        <w:t xml:space="preserve">This outflow/dilution concept is a suitable partial explanation for the behaviour of Blackrock and Coole turloughs which are closely related to their respective river inputs. This concept </w:t>
      </w:r>
      <w:r w:rsidR="00E65BAD">
        <w:rPr>
          <w:szCs w:val="22"/>
          <w:lang w:val="en-IE"/>
        </w:rPr>
        <w:t xml:space="preserve">however </w:t>
      </w:r>
      <w:r w:rsidR="00BE0383" w:rsidRPr="00BE0383">
        <w:rPr>
          <w:szCs w:val="22"/>
          <w:lang w:val="en-IE"/>
        </w:rPr>
        <w:t>does not explain the reduction of N in the surcharge tank turloughs. While these surcharge tank turloughs do experience some dilution from diffuse water (as shown by alkalinity measurements</w:t>
      </w:r>
      <w:r w:rsidR="00BE0383">
        <w:rPr>
          <w:szCs w:val="22"/>
          <w:lang w:val="en-IE"/>
        </w:rPr>
        <w:t>)</w:t>
      </w:r>
      <w:r w:rsidR="00BE0383" w:rsidRPr="00BE0383">
        <w:rPr>
          <w:szCs w:val="22"/>
          <w:lang w:val="en-IE"/>
        </w:rPr>
        <w:t xml:space="preserve">, the incoming water would be more likely to increase N concentration rather than reduce it. Thus internal reduction processes must also be taking place within these turloughs. </w:t>
      </w:r>
    </w:p>
    <w:p w:rsidR="00E51F98" w:rsidRPr="00161195" w:rsidRDefault="00E51F98" w:rsidP="00BE0383">
      <w:pPr>
        <w:rPr>
          <w:lang w:val="en-IE"/>
        </w:rPr>
      </w:pPr>
    </w:p>
    <w:p w:rsidR="00E65BAD" w:rsidRPr="00552EBC" w:rsidRDefault="00E65BAD" w:rsidP="00E65BAD">
      <w:pPr>
        <w:rPr>
          <w:color w:val="FF0000"/>
          <w:szCs w:val="22"/>
          <w:lang w:val="en-IE"/>
        </w:rPr>
      </w:pPr>
      <w:r>
        <w:rPr>
          <w:szCs w:val="22"/>
          <w:lang w:val="en-IE"/>
        </w:rPr>
        <w:t xml:space="preserve">In many permanent lakes, sedimentation can be a major source of N loss as a result of permanent internment of partially decomposed biota and inorganic and organic nitrogen compounds adsorbed to organic particulate matter in the sediments </w:t>
      </w:r>
      <w:r>
        <w:rPr>
          <w:szCs w:val="22"/>
          <w:lang w:val="en-IE"/>
        </w:rPr>
        <w:fldChar w:fldCharType="begin"/>
      </w:r>
      <w:r>
        <w:rPr>
          <w:szCs w:val="22"/>
          <w:lang w:val="en-IE"/>
        </w:rPr>
        <w:instrText xml:space="preserve"> ADDIN EN.CITE &lt;EndNote&gt;&lt;Cite&gt;&lt;Author&gt;Wetzel&lt;/Author&gt;&lt;Year&gt;2001&lt;/Year&gt;&lt;RecNum&gt;488&lt;/RecNum&gt;&lt;DisplayText&gt;(Wetzel, 2001)&lt;/DisplayText&gt;&lt;record&gt;&lt;rec-number&gt;488&lt;/rec-number&gt;&lt;foreign-keys&gt;&lt;key app="EN" db-id="dswvr2vdivtsvfepswzvft9gtsxe5zxfaavp" timestamp="1377965043"&gt;488&lt;/key&gt;&lt;/foreign-keys&gt;&lt;ref-type name="Book"&gt;6&lt;/ref-type&gt;&lt;contributors&gt;&lt;authors&gt;&lt;author&gt;Wetzel, R.G.&lt;/author&gt;&lt;/authors&gt;&lt;/contributors&gt;&lt;titles&gt;&lt;title&gt;Limnology: Lake and River Ecosystems&lt;/title&gt;&lt;/titles&gt;&lt;dates&gt;&lt;year&gt;2001&lt;/year&gt;&lt;/dates&gt;&lt;pub-location&gt;San Diego, CA, USA.&lt;/pub-location&gt;&lt;publisher&gt;Academic Press&lt;/publisher&gt;&lt;urls&gt;&lt;/urls&gt;&lt;/record&gt;&lt;/Cite&gt;&lt;/EndNote&gt;</w:instrText>
      </w:r>
      <w:r>
        <w:rPr>
          <w:szCs w:val="22"/>
          <w:lang w:val="en-IE"/>
        </w:rPr>
        <w:fldChar w:fldCharType="separate"/>
      </w:r>
      <w:r>
        <w:rPr>
          <w:szCs w:val="22"/>
          <w:lang w:val="en-IE"/>
        </w:rPr>
        <w:t>(</w:t>
      </w:r>
      <w:hyperlink w:anchor="_ENREF_42" w:tooltip="Wetzel, 2001 #488" w:history="1">
        <w:r w:rsidR="006B35EC" w:rsidRPr="00E65BAD">
          <w:t>Wetzel, 2001</w:t>
        </w:r>
      </w:hyperlink>
      <w:r>
        <w:rPr>
          <w:szCs w:val="22"/>
          <w:lang w:val="en-IE"/>
        </w:rPr>
        <w:t>)</w:t>
      </w:r>
      <w:r>
        <w:rPr>
          <w:szCs w:val="22"/>
          <w:lang w:val="en-IE"/>
        </w:rPr>
        <w:fldChar w:fldCharType="end"/>
      </w:r>
      <w:r>
        <w:rPr>
          <w:szCs w:val="22"/>
          <w:lang w:val="en-IE"/>
        </w:rPr>
        <w:t xml:space="preserve">. However, it is primarily organic nitrogen that is lost to sediments as dissolved forms of N such as ammonium and nitrate are hardly adsorbed by sediment particles and do not normally precipitate to insoluble forms in the sediment </w:t>
      </w:r>
      <w:r>
        <w:rPr>
          <w:szCs w:val="22"/>
          <w:lang w:val="en-IE"/>
        </w:rPr>
        <w:fldChar w:fldCharType="begin"/>
      </w:r>
      <w:r>
        <w:rPr>
          <w:szCs w:val="22"/>
          <w:lang w:val="en-IE"/>
        </w:rPr>
        <w:instrText xml:space="preserve"> ADDIN EN.CITE &lt;EndNote&gt;&lt;Cite&gt;&lt;Author&gt;Scheffer&lt;/Author&gt;&lt;Year&gt;1998&lt;/Year&gt;&lt;RecNum&gt;489&lt;/RecNum&gt;&lt;DisplayText&gt;(Scheffer, 1998)&lt;/DisplayText&gt;&lt;record&gt;&lt;rec-number&gt;489&lt;/rec-number&gt;&lt;foreign-keys&gt;&lt;key app="EN" db-id="dswvr2vdivtsvfepswzvft9gtsxe5zxfaavp" timestamp="1378048415"&gt;489&lt;/key&gt;&lt;/foreign-keys&gt;&lt;ref-type name="Book"&gt;6&lt;/ref-type&gt;&lt;contributors&gt;&lt;authors&gt;&lt;author&gt;Scheffer, M.&lt;/author&gt;&lt;/authors&gt;&lt;/contributors&gt;&lt;titles&gt;&lt;title&gt;Ecology of Shallow Lakes.&lt;/title&gt;&lt;/titles&gt;&lt;dates&gt;&lt;year&gt;1998&lt;/year&gt;&lt;/dates&gt;&lt;pub-location&gt;London, UK.&lt;/pub-location&gt;&lt;publisher&gt;Chapman &amp;amp; Hall&lt;/publisher&gt;&lt;urls&gt;&lt;/urls&gt;&lt;/record&gt;&lt;/Cite&gt;&lt;/EndNote&gt;</w:instrText>
      </w:r>
      <w:r>
        <w:rPr>
          <w:szCs w:val="22"/>
          <w:lang w:val="en-IE"/>
        </w:rPr>
        <w:fldChar w:fldCharType="separate"/>
      </w:r>
      <w:r>
        <w:rPr>
          <w:szCs w:val="22"/>
          <w:lang w:val="en-IE"/>
        </w:rPr>
        <w:t>(</w:t>
      </w:r>
      <w:hyperlink w:anchor="_ENREF_34" w:tooltip="Scheffer, 1998 #489" w:history="1">
        <w:r w:rsidR="006B35EC" w:rsidRPr="00E65BAD">
          <w:t>Scheffer, 1998</w:t>
        </w:r>
      </w:hyperlink>
      <w:r>
        <w:rPr>
          <w:szCs w:val="22"/>
          <w:lang w:val="en-IE"/>
        </w:rPr>
        <w:t>)</w:t>
      </w:r>
      <w:r>
        <w:rPr>
          <w:szCs w:val="22"/>
          <w:lang w:val="en-IE"/>
        </w:rPr>
        <w:fldChar w:fldCharType="end"/>
      </w:r>
      <w:r>
        <w:rPr>
          <w:szCs w:val="22"/>
          <w:lang w:val="en-IE"/>
        </w:rPr>
        <w:t xml:space="preserve">. In the turloughs under study (and most turloughs in general), N in the water column is primarily </w:t>
      </w:r>
      <w:r w:rsidRPr="00E535CE">
        <w:rPr>
          <w:szCs w:val="22"/>
          <w:lang w:val="en-IE"/>
        </w:rPr>
        <w:t>found in an inorganic form. As such, the effect of sedimentation on the Gort Lowlands turloughs should be limited</w:t>
      </w:r>
      <w:r w:rsidR="00B75A4F">
        <w:rPr>
          <w:szCs w:val="22"/>
          <w:lang w:val="en-IE"/>
        </w:rPr>
        <w:t>.</w:t>
      </w:r>
      <w:r w:rsidRPr="00E535CE">
        <w:rPr>
          <w:szCs w:val="22"/>
          <w:lang w:val="en-IE"/>
        </w:rPr>
        <w:t xml:space="preserve"> </w:t>
      </w:r>
    </w:p>
    <w:p w:rsidR="00445E84" w:rsidRDefault="00445E84" w:rsidP="00E65BAD">
      <w:pPr>
        <w:rPr>
          <w:szCs w:val="22"/>
          <w:lang w:val="en-IE"/>
        </w:rPr>
      </w:pPr>
    </w:p>
    <w:p w:rsidR="00E65BAD" w:rsidRDefault="00E65BAD" w:rsidP="00E65BAD">
      <w:pPr>
        <w:rPr>
          <w:szCs w:val="22"/>
          <w:lang w:val="en-IE"/>
        </w:rPr>
      </w:pPr>
      <w:r>
        <w:rPr>
          <w:szCs w:val="22"/>
          <w:lang w:val="en-IE"/>
        </w:rPr>
        <w:t xml:space="preserve">Denitrification can cause significant loss of N in </w:t>
      </w:r>
      <w:r w:rsidRPr="002F65ED">
        <w:rPr>
          <w:szCs w:val="22"/>
          <w:lang w:val="en-IE"/>
        </w:rPr>
        <w:t xml:space="preserve">lakes. </w:t>
      </w:r>
      <w:r>
        <w:rPr>
          <w:szCs w:val="22"/>
          <w:lang w:val="en-IE"/>
        </w:rPr>
        <w:t xml:space="preserve">For </w:t>
      </w:r>
      <w:r w:rsidR="00B75A4F">
        <w:rPr>
          <w:szCs w:val="22"/>
          <w:lang w:val="en-IE"/>
        </w:rPr>
        <w:t>it</w:t>
      </w:r>
      <w:r>
        <w:rPr>
          <w:szCs w:val="22"/>
          <w:lang w:val="en-IE"/>
        </w:rPr>
        <w:t xml:space="preserve"> to take place, the key condition required is anoxic conditions. Due to this condition, denitrification is an unlikely cause of N loss in most turloughs as they tend to show dissolved oxygen (DO) levels near saturation (&gt;10 mg/l) </w:t>
      </w:r>
      <w:r>
        <w:rPr>
          <w:szCs w:val="22"/>
          <w:lang w:val="en-IE"/>
        </w:rPr>
        <w:fldChar w:fldCharType="begin"/>
      </w:r>
      <w:r>
        <w:rPr>
          <w:szCs w:val="22"/>
          <w:lang w:val="en-IE"/>
        </w:rPr>
        <w:instrText xml:space="preserve"> ADDIN EN.CITE &lt;EndNote&gt;&lt;Cite&gt;&lt;Author&gt;Cunha Pereira&lt;/Author&gt;&lt;Year&gt;2011&lt;/Year&gt;&lt;RecNum&gt;444&lt;/RecNum&gt;&lt;DisplayText&gt;(Cunha Pereira, 2011)&lt;/DisplayText&gt;&lt;record&gt;&lt;rec-number&gt;444&lt;/rec-number&gt;&lt;foreign-keys&gt;&lt;key app="EN" db-id="dswvr2vdivtsvfepswzvft9gtsxe5zxfaavp" timestamp="1372780081"&gt;444&lt;/key&gt;&lt;/foreign-keys&gt;&lt;ref-type name="Thesis"&gt;32&lt;/ref-type&gt;&lt;contributors&gt;&lt;authors&gt;&lt;author&gt;Cunha Pereira, H.&lt;/author&gt;&lt;/authors&gt;&lt;/contributors&gt;&lt;titles&gt;&lt;title&gt;Hydrochemistry and Algal Communities of Turloughs (Karst Seasonal Lakes)&lt;/title&gt;&lt;secondary-title&gt;Centre for the Environment&lt;/secondary-title&gt;&lt;/titles&gt;&lt;dates&gt;&lt;year&gt;2011&lt;/year&gt;&lt;/dates&gt;&lt;publisher&gt;Trinity College Dublin&lt;/publisher&gt;&lt;work-type&gt;PhD&lt;/work-type&gt;&lt;urls&gt;&lt;/urls&gt;&lt;/record&gt;&lt;/Cite&gt;&lt;/EndNote&gt;</w:instrText>
      </w:r>
      <w:r>
        <w:rPr>
          <w:szCs w:val="22"/>
          <w:lang w:val="en-IE"/>
        </w:rPr>
        <w:fldChar w:fldCharType="separate"/>
      </w:r>
      <w:r>
        <w:rPr>
          <w:szCs w:val="22"/>
          <w:lang w:val="en-IE"/>
        </w:rPr>
        <w:t>(</w:t>
      </w:r>
      <w:hyperlink w:anchor="_ENREF_7" w:tooltip="Cunha Pereira, 2011 #444" w:history="1">
        <w:r w:rsidR="006B35EC" w:rsidRPr="00E65BAD">
          <w:t>Cunha Pereira, 2011</w:t>
        </w:r>
      </w:hyperlink>
      <w:r>
        <w:rPr>
          <w:szCs w:val="22"/>
          <w:lang w:val="en-IE"/>
        </w:rPr>
        <w:t>)</w:t>
      </w:r>
      <w:r>
        <w:rPr>
          <w:szCs w:val="22"/>
          <w:lang w:val="en-IE"/>
        </w:rPr>
        <w:fldChar w:fldCharType="end"/>
      </w:r>
      <w:r>
        <w:rPr>
          <w:szCs w:val="22"/>
          <w:lang w:val="en-IE"/>
        </w:rPr>
        <w:t xml:space="preserve"> As most turloughs are shallow with average depths between 1 </w:t>
      </w:r>
      <w:r w:rsidR="00A67BB6">
        <w:rPr>
          <w:szCs w:val="22"/>
          <w:lang w:val="en-IE"/>
        </w:rPr>
        <w:t>–</w:t>
      </w:r>
      <w:r>
        <w:rPr>
          <w:szCs w:val="22"/>
          <w:lang w:val="en-IE"/>
        </w:rPr>
        <w:t xml:space="preserve"> 3</w:t>
      </w:r>
      <w:r w:rsidR="00A67BB6">
        <w:rPr>
          <w:szCs w:val="22"/>
          <w:lang w:val="en-IE"/>
        </w:rPr>
        <w:t xml:space="preserve"> </w:t>
      </w:r>
      <w:r>
        <w:rPr>
          <w:szCs w:val="22"/>
          <w:lang w:val="en-IE"/>
        </w:rPr>
        <w:t xml:space="preserve">m </w:t>
      </w:r>
      <w:r>
        <w:rPr>
          <w:szCs w:val="22"/>
          <w:lang w:val="en-IE"/>
        </w:rPr>
        <w:fldChar w:fldCharType="begin"/>
      </w:r>
      <w:r>
        <w:rPr>
          <w:szCs w:val="22"/>
          <w:lang w:val="en-IE"/>
        </w:rPr>
        <w:instrText xml:space="preserve"> ADDIN EN.CITE &lt;EndNote&gt;&lt;Cite&gt;&lt;Author&gt;Naughton&lt;/Author&gt;&lt;Year&gt;2011&lt;/Year&gt;&lt;RecNum&gt;405&lt;/RecNum&gt;&lt;DisplayText&gt;(Naughton, 2011)&lt;/DisplayText&gt;&lt;record&gt;&lt;rec-number&gt;405&lt;/rec-number&gt;&lt;foreign-keys&gt;&lt;key app="EN" db-id="dswvr2vdivtsvfepswzvft9gtsxe5zxfaavp" timestamp="1368632274"&gt;405&lt;/key&gt;&lt;/foreign-keys&gt;&lt;ref-type name="Thesis"&gt;32&lt;/ref-type&gt;&lt;contributors&gt;&lt;authors&gt;&lt;author&gt;Naughton, O.&lt;/author&gt;&lt;/authors&gt;&lt;/contributors&gt;&lt;titles&gt;&lt;title&gt;The Hydrology and Hydroecology of Turloughs&lt;/title&gt;&lt;secondary-title&gt;Department of Civil, Structural and Environmental Engineering&lt;/secondary-title&gt;&lt;/titles&gt;&lt;dates&gt;&lt;year&gt;2011&lt;/year&gt;&lt;/dates&gt;&lt;publisher&gt;University of Dublin, Trinity College, Ireland.&lt;/publisher&gt;&lt;work-type&gt;PhD&lt;/work-type&gt;&lt;urls&gt;&lt;/urls&gt;&lt;/record&gt;&lt;/Cite&gt;&lt;/EndNote&gt;</w:instrText>
      </w:r>
      <w:r>
        <w:rPr>
          <w:szCs w:val="22"/>
          <w:lang w:val="en-IE"/>
        </w:rPr>
        <w:fldChar w:fldCharType="separate"/>
      </w:r>
      <w:r>
        <w:rPr>
          <w:szCs w:val="22"/>
          <w:lang w:val="en-IE"/>
        </w:rPr>
        <w:t>(</w:t>
      </w:r>
      <w:hyperlink w:anchor="_ENREF_26" w:tooltip="Naughton, 2011 #405" w:history="1">
        <w:r w:rsidR="006B35EC" w:rsidRPr="00E65BAD">
          <w:t>Naughton, 2011</w:t>
        </w:r>
      </w:hyperlink>
      <w:r>
        <w:rPr>
          <w:szCs w:val="22"/>
          <w:lang w:val="en-IE"/>
        </w:rPr>
        <w:t>)</w:t>
      </w:r>
      <w:r>
        <w:rPr>
          <w:szCs w:val="22"/>
          <w:lang w:val="en-IE"/>
        </w:rPr>
        <w:fldChar w:fldCharType="end"/>
      </w:r>
      <w:r>
        <w:rPr>
          <w:szCs w:val="22"/>
          <w:lang w:val="en-IE"/>
        </w:rPr>
        <w:t>, DO levels can be assumed to remain high throughout the turlough water column. The turloughs of the Gort Lowlands however are deeper, typically reaching depths greater than 10 m. These turloughs are also more eutrophic which would encourage a ‘</w:t>
      </w:r>
      <w:proofErr w:type="spellStart"/>
      <w:r>
        <w:rPr>
          <w:szCs w:val="22"/>
          <w:lang w:val="en-IE"/>
        </w:rPr>
        <w:t>clinograde</w:t>
      </w:r>
      <w:proofErr w:type="spellEnd"/>
      <w:r>
        <w:rPr>
          <w:szCs w:val="22"/>
          <w:lang w:val="en-IE"/>
        </w:rPr>
        <w:t>’ oxygen profile whereby DO levels reduce with depth due to oxidative processes. In lakes where this ‘</w:t>
      </w:r>
      <w:proofErr w:type="spellStart"/>
      <w:r>
        <w:rPr>
          <w:szCs w:val="22"/>
          <w:lang w:val="en-IE"/>
        </w:rPr>
        <w:t>clinograde</w:t>
      </w:r>
      <w:proofErr w:type="spellEnd"/>
      <w:r>
        <w:rPr>
          <w:szCs w:val="22"/>
          <w:lang w:val="en-IE"/>
        </w:rPr>
        <w:t xml:space="preserve">’ oxygen profile occurs, oxygen consumption is most intense at the sediment-water interface, where the accumulation of organic matter and bacterial metabolism are greatest </w:t>
      </w:r>
      <w:r>
        <w:rPr>
          <w:szCs w:val="22"/>
          <w:lang w:val="en-IE"/>
        </w:rPr>
        <w:fldChar w:fldCharType="begin"/>
      </w:r>
      <w:r>
        <w:rPr>
          <w:szCs w:val="22"/>
          <w:lang w:val="en-IE"/>
        </w:rPr>
        <w:instrText xml:space="preserve"> ADDIN EN.CITE &lt;EndNote&gt;&lt;Cite&gt;&lt;Author&gt;Wetzel&lt;/Author&gt;&lt;Year&gt;2001&lt;/Year&gt;&lt;RecNum&gt;488&lt;/RecNum&gt;&lt;DisplayText&gt;(Wetzel, 2001)&lt;/DisplayText&gt;&lt;record&gt;&lt;rec-number&gt;488&lt;/rec-number&gt;&lt;foreign-keys&gt;&lt;key app="EN" db-id="dswvr2vdivtsvfepswzvft9gtsxe5zxfaavp" timestamp="1377965043"&gt;488&lt;/key&gt;&lt;/foreign-keys&gt;&lt;ref-type name="Book"&gt;6&lt;/ref-type&gt;&lt;contributors&gt;&lt;authors&gt;&lt;author&gt;Wetzel, R.G.&lt;/author&gt;&lt;/authors&gt;&lt;/contributors&gt;&lt;titles&gt;&lt;title&gt;Limnology: Lake and River Ecosystems&lt;/title&gt;&lt;/titles&gt;&lt;dates&gt;&lt;year&gt;2001&lt;/year&gt;&lt;/dates&gt;&lt;pub-location&gt;San Diego, CA, USA.&lt;/pub-location&gt;&lt;publisher&gt;Academic Press&lt;/publisher&gt;&lt;urls&gt;&lt;/urls&gt;&lt;/record&gt;&lt;/Cite&gt;&lt;/EndNote&gt;</w:instrText>
      </w:r>
      <w:r>
        <w:rPr>
          <w:szCs w:val="22"/>
          <w:lang w:val="en-IE"/>
        </w:rPr>
        <w:fldChar w:fldCharType="separate"/>
      </w:r>
      <w:r>
        <w:rPr>
          <w:szCs w:val="22"/>
          <w:lang w:val="en-IE"/>
        </w:rPr>
        <w:t>(</w:t>
      </w:r>
      <w:hyperlink w:anchor="_ENREF_42" w:tooltip="Wetzel, 2001 #488" w:history="1">
        <w:r w:rsidR="006B35EC" w:rsidRPr="00E65BAD">
          <w:t>Wetzel, 2001</w:t>
        </w:r>
      </w:hyperlink>
      <w:r>
        <w:rPr>
          <w:szCs w:val="22"/>
          <w:lang w:val="en-IE"/>
        </w:rPr>
        <w:t>)</w:t>
      </w:r>
      <w:r>
        <w:rPr>
          <w:szCs w:val="22"/>
          <w:lang w:val="en-IE"/>
        </w:rPr>
        <w:fldChar w:fldCharType="end"/>
      </w:r>
      <w:r>
        <w:rPr>
          <w:szCs w:val="22"/>
          <w:lang w:val="en-IE"/>
        </w:rPr>
        <w:t xml:space="preserve">. Thus the sediment surface is the most important site for denitrification </w:t>
      </w:r>
      <w:r>
        <w:rPr>
          <w:szCs w:val="22"/>
          <w:lang w:val="en-IE"/>
        </w:rPr>
        <w:fldChar w:fldCharType="begin"/>
      </w:r>
      <w:r>
        <w:rPr>
          <w:szCs w:val="22"/>
          <w:lang w:val="en-IE"/>
        </w:rPr>
        <w:instrText xml:space="preserve"> ADDIN EN.CITE &lt;EndNote&gt;&lt;Cite&gt;&lt;Author&gt;Scheffer&lt;/Author&gt;&lt;Year&gt;1998&lt;/Year&gt;&lt;RecNum&gt;489&lt;/RecNum&gt;&lt;DisplayText&gt;(Scheffer, 1998)&lt;/DisplayText&gt;&lt;record&gt;&lt;rec-number&gt;489&lt;/rec-number&gt;&lt;foreign-keys&gt;&lt;key app="EN" db-id="dswvr2vdivtsvfepswzvft9gtsxe5zxfaavp" timestamp="1378048415"&gt;489&lt;/key&gt;&lt;/foreign-keys&gt;&lt;ref-type name="Book"&gt;6&lt;/ref-type&gt;&lt;contributors&gt;&lt;authors&gt;&lt;author&gt;Scheffer, M.&lt;/author&gt;&lt;/authors&gt;&lt;/contributors&gt;&lt;titles&gt;&lt;title&gt;Ecology of Shallow Lakes.&lt;/title&gt;&lt;/titles&gt;&lt;dates&gt;&lt;year&gt;1998&lt;/year&gt;&lt;/dates&gt;&lt;pub-location&gt;London, UK.&lt;/pub-location&gt;&lt;publisher&gt;Chapman &amp;amp; Hall&lt;/publisher&gt;&lt;urls&gt;&lt;/urls&gt;&lt;/record&gt;&lt;/Cite&gt;&lt;/EndNote&gt;</w:instrText>
      </w:r>
      <w:r>
        <w:rPr>
          <w:szCs w:val="22"/>
          <w:lang w:val="en-IE"/>
        </w:rPr>
        <w:fldChar w:fldCharType="separate"/>
      </w:r>
      <w:r>
        <w:rPr>
          <w:szCs w:val="22"/>
          <w:lang w:val="en-IE"/>
        </w:rPr>
        <w:t>(</w:t>
      </w:r>
      <w:hyperlink w:anchor="_ENREF_34" w:tooltip="Scheffer, 1998 #489" w:history="1">
        <w:r w:rsidR="006B35EC" w:rsidRPr="00E65BAD">
          <w:t>Scheffer, 1998</w:t>
        </w:r>
      </w:hyperlink>
      <w:r>
        <w:rPr>
          <w:szCs w:val="22"/>
          <w:lang w:val="en-IE"/>
        </w:rPr>
        <w:t>)</w:t>
      </w:r>
      <w:r>
        <w:rPr>
          <w:szCs w:val="22"/>
          <w:lang w:val="en-IE"/>
        </w:rPr>
        <w:fldChar w:fldCharType="end"/>
      </w:r>
      <w:r>
        <w:rPr>
          <w:szCs w:val="22"/>
          <w:lang w:val="en-IE"/>
        </w:rPr>
        <w:t xml:space="preserve">. Analysis of soil samples from the Gort Lowland turloughs by </w:t>
      </w:r>
      <w:hyperlink w:anchor="_ENREF_22" w:tooltip="Kimberley, 2012 #490" w:history="1">
        <w:r w:rsidR="006B35EC" w:rsidRPr="00E65BAD">
          <w:fldChar w:fldCharType="begin"/>
        </w:r>
        <w:r w:rsidR="006B35EC" w:rsidRPr="00E65BAD">
          <w:instrText xml:space="preserve"> ADDIN EN.CITE &lt;EndNote&gt;&lt;Cite AuthorYear="1"&gt;&lt;Author&gt;Kimberley&lt;/Author&gt;&lt;Year&gt;2012&lt;/Year&gt;&lt;RecNum&gt;490&lt;/RecNum&gt;&lt;DisplayText&gt;Kimberley and Waldren (2012)&lt;/DisplayText&gt;&lt;record&gt;&lt;rec-number&gt;490&lt;/rec-number&gt;&lt;foreign-keys&gt;&lt;key app="EN" db-id="dswvr2vdivtsvfepswzvft9gtsxe5zxfaavp" timestamp="1378048892"&gt;490&lt;/key&gt;&lt;/foreign-keys&gt;&lt;ref-type name="Journal Article"&gt;17&lt;/ref-type&gt;&lt;contributors&gt;&lt;authors&gt;&lt;author&gt;Kimberley, S.&lt;/author&gt;&lt;author&gt;Waldren, S.&lt;/author&gt;&lt;/authors&gt;&lt;/contributors&gt;&lt;titles&gt;&lt;title&gt;Examinations of turlough soil property spatial variation in a conservation assessment context&lt;/title&gt;&lt;secondary-title&gt;Biology &amp;amp; Environment: Proceedings of the Royal Irish Academy&lt;/secondary-title&gt;&lt;/titles&gt;&lt;periodical&gt;&lt;full-title&gt;Biology &amp;amp; Environment: Proceedings of the Royal Irish Academy&lt;/full-title&gt;&lt;/periodical&gt;&lt;pages&gt;1-13&lt;/pages&gt;&lt;volume&gt;112B&lt;/volume&gt;&lt;number&gt;3&lt;/number&gt;&lt;dates&gt;&lt;year&gt;2012&lt;/year&gt;&lt;pub-dates&gt;&lt;date&gt;01/01/&lt;/date&gt;&lt;/pub-dates&gt;&lt;/dates&gt;&lt;urls&gt;&lt;/urls&gt;&lt;/record&gt;&lt;/Cite&gt;&lt;/EndNote&gt;</w:instrText>
        </w:r>
        <w:r w:rsidR="006B35EC" w:rsidRPr="00E65BAD">
          <w:fldChar w:fldCharType="separate"/>
        </w:r>
        <w:r w:rsidR="006B35EC" w:rsidRPr="00E65BAD">
          <w:t>Kimberley and Waldren (2012)</w:t>
        </w:r>
        <w:r w:rsidR="006B35EC" w:rsidRPr="00E65BAD">
          <w:fldChar w:fldCharType="end"/>
        </w:r>
      </w:hyperlink>
      <w:r>
        <w:rPr>
          <w:szCs w:val="22"/>
          <w:lang w:val="en-IE"/>
        </w:rPr>
        <w:t xml:space="preserve"> found that elevated </w:t>
      </w:r>
      <w:r>
        <w:rPr>
          <w:szCs w:val="22"/>
          <w:lang w:val="en-IE"/>
        </w:rPr>
        <w:lastRenderedPageBreak/>
        <w:t>concentrations of available forms of N and P in the lower turlough zones may be the result of anaerobic conditions, which suggests that denitrification could  occur within the turloughs of the Gort Lowlands.</w:t>
      </w:r>
    </w:p>
    <w:p w:rsidR="00B96117" w:rsidRPr="00DA270C" w:rsidRDefault="00B96117" w:rsidP="00B96117">
      <w:pPr>
        <w:rPr>
          <w:szCs w:val="22"/>
          <w:lang w:val="en-IE"/>
        </w:rPr>
      </w:pPr>
    </w:p>
    <w:p w:rsidR="00E65BAD" w:rsidRDefault="0091304E" w:rsidP="00E65BAD">
      <w:pPr>
        <w:rPr>
          <w:szCs w:val="22"/>
          <w:lang w:val="en-IE"/>
        </w:rPr>
      </w:pPr>
      <w:hyperlink w:anchor="_ENREF_32" w:tooltip="Reddy, 2008 #493" w:history="1">
        <w:r w:rsidR="006B35EC" w:rsidRPr="00FC2401">
          <w:rPr>
            <w:szCs w:val="22"/>
            <w:lang w:val="en-IE"/>
          </w:rPr>
          <w:fldChar w:fldCharType="begin"/>
        </w:r>
        <w:r w:rsidR="006B35EC" w:rsidRPr="00FC2401">
          <w:rPr>
            <w:szCs w:val="22"/>
            <w:lang w:val="en-IE"/>
          </w:rPr>
          <w:instrText xml:space="preserve"> ADDIN EN.CITE &lt;EndNote&gt;&lt;Cite AuthorYear="1"&gt;&lt;Author&gt;Reddy&lt;/Author&gt;&lt;Year&gt;2008&lt;/Year&gt;&lt;RecNum&gt;493&lt;/RecNum&gt;&lt;DisplayText&gt;Reddy and DeLaune (2008)&lt;/DisplayText&gt;&lt;record&gt;&lt;rec-number&gt;493&lt;/rec-number&gt;&lt;foreign-keys&gt;&lt;key app="EN" db-id="dswvr2vdivtsvfepswzvft9gtsxe5zxfaavp" timestamp="1378216060"&gt;493&lt;/key&gt;&lt;/foreign-keys&gt;&lt;ref-type name="Book"&gt;6&lt;/ref-type&gt;&lt;contributors&gt;&lt;authors&gt;&lt;author&gt;Reddy, K.R.&lt;/author&gt;&lt;author&gt;DeLaune, W.H. &lt;/author&gt;&lt;/authors&gt;&lt;/contributors&gt;&lt;titles&gt;&lt;title&gt;Biogeochemistry of Wetlands&lt;/title&gt;&lt;/titles&gt;&lt;dates&gt;&lt;year&gt;2008&lt;/year&gt;&lt;/dates&gt;&lt;publisher&gt;Academic Press Ltd&lt;/publisher&gt;&lt;urls&gt;&lt;/urls&gt;&lt;/record&gt;&lt;/Cite&gt;&lt;/EndNote&gt;</w:instrText>
        </w:r>
        <w:r w:rsidR="006B35EC" w:rsidRPr="00FC2401">
          <w:rPr>
            <w:szCs w:val="22"/>
            <w:lang w:val="en-IE"/>
          </w:rPr>
          <w:fldChar w:fldCharType="separate"/>
        </w:r>
        <w:r w:rsidR="006B35EC" w:rsidRPr="00FC2401">
          <w:rPr>
            <w:noProof/>
            <w:szCs w:val="22"/>
            <w:lang w:val="en-IE"/>
          </w:rPr>
          <w:t>Reddy and DeLaune (2008)</w:t>
        </w:r>
        <w:r w:rsidR="006B35EC" w:rsidRPr="00FC2401">
          <w:rPr>
            <w:szCs w:val="22"/>
            <w:lang w:val="en-IE"/>
          </w:rPr>
          <w:fldChar w:fldCharType="end"/>
        </w:r>
      </w:hyperlink>
      <w:r w:rsidR="00E65BAD">
        <w:rPr>
          <w:szCs w:val="22"/>
          <w:lang w:val="en-IE"/>
        </w:rPr>
        <w:t xml:space="preserve"> </w:t>
      </w:r>
      <w:proofErr w:type="gramStart"/>
      <w:r w:rsidR="00E65BAD">
        <w:rPr>
          <w:szCs w:val="22"/>
          <w:lang w:val="en-IE"/>
        </w:rPr>
        <w:t>state</w:t>
      </w:r>
      <w:proofErr w:type="gramEnd"/>
      <w:r w:rsidR="00E65BAD">
        <w:rPr>
          <w:szCs w:val="22"/>
          <w:lang w:val="en-IE"/>
        </w:rPr>
        <w:t xml:space="preserve"> that denitrification rates in lakes vary between 34 and 57 mg N/m</w:t>
      </w:r>
      <w:r w:rsidR="00E65BAD">
        <w:rPr>
          <w:szCs w:val="22"/>
          <w:vertAlign w:val="superscript"/>
          <w:lang w:val="en-IE"/>
        </w:rPr>
        <w:t>2</w:t>
      </w:r>
      <w:r w:rsidR="00E65BAD">
        <w:rPr>
          <w:szCs w:val="22"/>
          <w:lang w:val="en-IE"/>
        </w:rPr>
        <w:t>/day. Looking at the example of Caherglassaun over the 2011-2012 flooding season, that would sug</w:t>
      </w:r>
      <w:r w:rsidR="00904355">
        <w:rPr>
          <w:szCs w:val="22"/>
          <w:lang w:val="en-IE"/>
        </w:rPr>
        <w:t>gest a removal of 755–1266 kg N</w:t>
      </w:r>
      <w:r w:rsidR="00E65BAD">
        <w:rPr>
          <w:szCs w:val="22"/>
          <w:lang w:val="en-IE"/>
        </w:rPr>
        <w:t xml:space="preserve"> via denitrification between sampling points A and B (one month apart) highlighted in </w:t>
      </w:r>
      <w:r w:rsidR="00E65BAD">
        <w:rPr>
          <w:szCs w:val="22"/>
          <w:lang w:val="en-IE"/>
        </w:rPr>
        <w:fldChar w:fldCharType="begin"/>
      </w:r>
      <w:r w:rsidR="00E65BAD">
        <w:rPr>
          <w:szCs w:val="22"/>
          <w:lang w:val="en-IE"/>
        </w:rPr>
        <w:instrText xml:space="preserve"> REF _Ref387843565 \h  \* MERGEFORMAT </w:instrText>
      </w:r>
      <w:r w:rsidR="00E65BAD">
        <w:rPr>
          <w:szCs w:val="22"/>
          <w:lang w:val="en-IE"/>
        </w:rPr>
      </w:r>
      <w:r w:rsidR="00E65BAD">
        <w:rPr>
          <w:szCs w:val="22"/>
          <w:lang w:val="en-IE"/>
        </w:rPr>
        <w:fldChar w:fldCharType="separate"/>
      </w:r>
      <w:r w:rsidR="00E40475" w:rsidRPr="00E40475">
        <w:rPr>
          <w:szCs w:val="22"/>
        </w:rPr>
        <w:t xml:space="preserve">Figure </w:t>
      </w:r>
      <w:r w:rsidR="00E40475" w:rsidRPr="00E40475">
        <w:rPr>
          <w:noProof/>
          <w:szCs w:val="22"/>
        </w:rPr>
        <w:t>11</w:t>
      </w:r>
      <w:r w:rsidR="00E65BAD">
        <w:rPr>
          <w:szCs w:val="22"/>
          <w:lang w:val="en-IE"/>
        </w:rPr>
        <w:fldChar w:fldCharType="end"/>
      </w:r>
      <w:r w:rsidR="00E65BAD">
        <w:rPr>
          <w:szCs w:val="22"/>
          <w:lang w:val="en-IE"/>
        </w:rPr>
        <w:t xml:space="preserve"> . </w:t>
      </w:r>
      <w:r w:rsidR="00E65BAD">
        <w:rPr>
          <w:lang w:val="en-IE"/>
        </w:rPr>
        <w:t>The actual amount of N removed can be calculated as follows:</w:t>
      </w:r>
    </w:p>
    <w:p w:rsidR="00E65BAD" w:rsidRDefault="00E65BAD" w:rsidP="00E65BAD">
      <w:pPr>
        <w:pStyle w:val="ListParagraph"/>
        <w:numPr>
          <w:ilvl w:val="0"/>
          <w:numId w:val="40"/>
        </w:numPr>
        <w:spacing w:line="360" w:lineRule="auto"/>
      </w:pPr>
      <w:r>
        <w:t>N load at point A is 3121 kg (1.1 mg/l x 2,837,295 m</w:t>
      </w:r>
      <w:r>
        <w:rPr>
          <w:vertAlign w:val="superscript"/>
        </w:rPr>
        <w:t>3</w:t>
      </w:r>
      <w:r>
        <w:t>). N load at point B is 1724 kg.</w:t>
      </w:r>
    </w:p>
    <w:p w:rsidR="00E65BAD" w:rsidRDefault="00E65BAD" w:rsidP="00E65BAD">
      <w:pPr>
        <w:pStyle w:val="ListParagraph"/>
        <w:numPr>
          <w:ilvl w:val="0"/>
          <w:numId w:val="40"/>
        </w:numPr>
        <w:spacing w:line="360" w:lineRule="auto"/>
      </w:pPr>
      <w:r>
        <w:t>Supposing that N was removed by outflow only, the concentration should stay at 1.1 mg/l while the volume reduces to 2</w:t>
      </w:r>
      <w:proofErr w:type="gramStart"/>
      <w:r>
        <w:t>,463,</w:t>
      </w:r>
      <w:r w:rsidR="00904355">
        <w:t>7</w:t>
      </w:r>
      <w:proofErr w:type="gramEnd"/>
      <w:r>
        <w:t xml:space="preserve"> m</w:t>
      </w:r>
      <w:r>
        <w:rPr>
          <w:vertAlign w:val="superscript"/>
        </w:rPr>
        <w:t>3</w:t>
      </w:r>
      <w:r>
        <w:t>. So the N load at point B would be 2710 kg.</w:t>
      </w:r>
    </w:p>
    <w:p w:rsidR="00E65BAD" w:rsidRDefault="00E65BAD" w:rsidP="00E65BAD">
      <w:pPr>
        <w:pStyle w:val="ListParagraph"/>
        <w:numPr>
          <w:ilvl w:val="0"/>
          <w:numId w:val="40"/>
        </w:numPr>
        <w:spacing w:line="360" w:lineRule="auto"/>
      </w:pPr>
      <w:r>
        <w:t xml:space="preserve">Thus 986 kg N (2710-1724) has been removed by non-conservative processes. </w:t>
      </w:r>
    </w:p>
    <w:p w:rsidR="00E65BAD" w:rsidRDefault="00E65BAD" w:rsidP="00E65BAD">
      <w:r>
        <w:t xml:space="preserve">This value (986 kg) sits comfortably between the denitrification values as predicted for Caherglassaun based on the denitrification rates of </w:t>
      </w:r>
      <w:hyperlink w:anchor="_ENREF_32" w:tooltip="Reddy, 2008 #493" w:history="1">
        <w:r w:rsidR="006B35EC" w:rsidRPr="00FC2401">
          <w:fldChar w:fldCharType="begin"/>
        </w:r>
        <w:r w:rsidR="006B35EC" w:rsidRPr="00FC2401">
          <w:instrText xml:space="preserve"> ADDIN EN.CITE &lt;EndNote&gt;&lt;Cite AuthorYear="1"&gt;&lt;Author&gt;Reddy&lt;/Author&gt;&lt;Year&gt;2008&lt;/Year&gt;&lt;RecNum&gt;493&lt;/RecNum&gt;&lt;DisplayText&gt;Reddy and DeLaune (2008)&lt;/DisplayText&gt;&lt;record&gt;&lt;rec-number&gt;493&lt;/rec-number&gt;&lt;foreign-keys&gt;&lt;key app="EN" db-id="dswvr2vdivtsvfepswzvft9gtsxe5zxfaavp" timestamp="1378216060"&gt;493&lt;/key&gt;&lt;/foreign-keys&gt;&lt;ref-type name="Book"&gt;6&lt;/ref-type&gt;&lt;contributors&gt;&lt;authors&gt;&lt;author&gt;Reddy, K.R.&lt;/author&gt;&lt;author&gt;DeLaune, W.H. &lt;/author&gt;&lt;/authors&gt;&lt;/contributors&gt;&lt;titles&gt;&lt;title&gt;Biogeochemistry of Wetlands&lt;/title&gt;&lt;/titles&gt;&lt;dates&gt;&lt;year&gt;2008&lt;/year&gt;&lt;/dates&gt;&lt;publisher&gt;Academic Press Ltd&lt;/publisher&gt;&lt;urls&gt;&lt;/urls&gt;&lt;/record&gt;&lt;/Cite&gt;&lt;/EndNote&gt;</w:instrText>
        </w:r>
        <w:r w:rsidR="006B35EC" w:rsidRPr="00FC2401">
          <w:fldChar w:fldCharType="separate"/>
        </w:r>
        <w:r w:rsidR="006B35EC" w:rsidRPr="00FC2401">
          <w:rPr>
            <w:noProof/>
          </w:rPr>
          <w:t>Reddy and DeLaune (2008)</w:t>
        </w:r>
        <w:r w:rsidR="006B35EC" w:rsidRPr="00FC2401">
          <w:fldChar w:fldCharType="end"/>
        </w:r>
      </w:hyperlink>
      <w:r>
        <w:t xml:space="preserve">. As such, it can be suggested that denitrification is a plausible cause of N removal from the turloughs during flooded periods. </w:t>
      </w:r>
    </w:p>
    <w:p w:rsidR="006929C7" w:rsidRDefault="006929C7" w:rsidP="00DA270C">
      <w:pPr>
        <w:rPr>
          <w:szCs w:val="22"/>
        </w:rPr>
      </w:pPr>
    </w:p>
    <w:p w:rsidR="00277858" w:rsidRDefault="00E65BAD" w:rsidP="00653FE4">
      <w:pPr>
        <w:rPr>
          <w:lang w:val="en-IE"/>
        </w:rPr>
      </w:pPr>
      <w:r>
        <w:rPr>
          <w:szCs w:val="22"/>
          <w:lang w:val="en-IE"/>
        </w:rPr>
        <w:t xml:space="preserve">Daily N loading from the rivers has been calculated as 590 kg N/day. Thus, the monthly N loading was approximately 17700 kg N, compared to the monthly N loss from Caherglassaun of 986 kg N. These values suggest that, during flooded periods, 4.8% of the N brought into the catchment from the rivers can be lost from Caherglassaun turlough alone. </w:t>
      </w:r>
      <w:r w:rsidR="00277858">
        <w:rPr>
          <w:lang w:val="en-IE"/>
        </w:rPr>
        <w:t xml:space="preserve">As such, the turloughs can be considered as considerable sinks of N during the few months (typically 3-4 months) in which they are deep enough and stable enough for denitrification to take place. </w:t>
      </w:r>
    </w:p>
    <w:p w:rsidR="00161195" w:rsidRDefault="00161195" w:rsidP="003D44C8">
      <w:pPr>
        <w:rPr>
          <w:shd w:val="clear" w:color="auto" w:fill="FFFFFF"/>
        </w:rPr>
      </w:pPr>
    </w:p>
    <w:p w:rsidR="00161195" w:rsidRDefault="00161195" w:rsidP="003D44C8">
      <w:pPr>
        <w:rPr>
          <w:shd w:val="clear" w:color="auto" w:fill="FFFFFF"/>
        </w:rPr>
      </w:pPr>
    </w:p>
    <w:p w:rsidR="00907F58" w:rsidRDefault="009A373F" w:rsidP="009A373F">
      <w:pPr>
        <w:pStyle w:val="Heading3"/>
        <w:rPr>
          <w:shd w:val="clear" w:color="auto" w:fill="FFFFFF"/>
        </w:rPr>
      </w:pPr>
      <w:r>
        <w:rPr>
          <w:shd w:val="clear" w:color="auto" w:fill="FFFFFF"/>
        </w:rPr>
        <w:t xml:space="preserve">Phosphorus </w:t>
      </w:r>
    </w:p>
    <w:p w:rsidR="00E65BAD" w:rsidRDefault="00E65BAD" w:rsidP="00E65BAD">
      <w:pPr>
        <w:rPr>
          <w:szCs w:val="22"/>
          <w:lang w:val="en-IE"/>
        </w:rPr>
      </w:pPr>
      <w:r>
        <w:rPr>
          <w:lang w:val="en-IE"/>
        </w:rPr>
        <w:t>The major source of P to the turloughs is via river inputs. For the lower three turloughs</w:t>
      </w:r>
      <w:r w:rsidR="003D63BB">
        <w:rPr>
          <w:lang w:val="en-IE"/>
        </w:rPr>
        <w:t xml:space="preserve"> (Coole, Garryland and Caherglassaun)</w:t>
      </w:r>
      <w:r>
        <w:rPr>
          <w:lang w:val="en-IE"/>
        </w:rPr>
        <w:t>, mean turlough P concentrations were a clear reflection of their river input. The upper two turloughs, however, showed P levels in excess of their water source (</w:t>
      </w:r>
      <w:r w:rsidR="00816944">
        <w:rPr>
          <w:lang w:val="en-IE"/>
        </w:rPr>
        <w:t>SA1</w:t>
      </w:r>
      <w:r>
        <w:rPr>
          <w:lang w:val="en-IE"/>
        </w:rPr>
        <w:t xml:space="preserve">) which suggests that these turloughs act as a source of P (or perhaps Blackrock is the source and Coy P concentrations are only elevated by influx of Blackrock outflow). The cause of this elevated P is likely due to the presence of an abattoir located next to Blackrock or due to grazing during dry </w:t>
      </w:r>
      <w:r>
        <w:rPr>
          <w:lang w:val="en-IE"/>
        </w:rPr>
        <w:lastRenderedPageBreak/>
        <w:t xml:space="preserve">periods on both turloughs. </w:t>
      </w:r>
      <w:r w:rsidRPr="00E65BAD">
        <w:rPr>
          <w:lang w:val="en-IE"/>
        </w:rPr>
        <w:t xml:space="preserve">Indeed grazing has been shown to have a positive correlation with P concentrations in turlough soil </w:t>
      </w:r>
      <w:r w:rsidRPr="00E65BAD">
        <w:rPr>
          <w:lang w:val="en-IE"/>
        </w:rPr>
        <w:fldChar w:fldCharType="begin"/>
      </w:r>
      <w:r w:rsidRPr="00E65BAD">
        <w:rPr>
          <w:lang w:val="en-IE"/>
        </w:rPr>
        <w:instrText xml:space="preserve"> ADDIN EN.CITE &lt;EndNote&gt;&lt;Cite&gt;&lt;Author&gt;Kimberley&lt;/Author&gt;&lt;Year&gt;2012&lt;/Year&gt;&lt;RecNum&gt;347&lt;/RecNum&gt;&lt;DisplayText&gt;(Kimberley et al., 2012)&lt;/DisplayText&gt;&lt;record&gt;&lt;rec-number&gt;347&lt;/rec-number&gt;&lt;foreign-keys&gt;&lt;key app="EN" db-id="dswvr2vdivtsvfepswzvft9gtsxe5zxfaavp" timestamp="1355193058"&gt;347&lt;/key&gt;&lt;/foreign-keys&gt;&lt;ref-type name="Journal Article"&gt;17&lt;/ref-type&gt;&lt;contributors&gt;&lt;authors&gt;&lt;author&gt;Kimberley, Sarah&lt;/author&gt;&lt;author&gt;Naughton, Owen&lt;/author&gt;&lt;author&gt;Johnston, Paul&lt;/author&gt;&lt;author&gt;Gill, Laurence&lt;/author&gt;&lt;author&gt;Waldren, Steve&lt;/author&gt;&lt;/authors&gt;&lt;/contributors&gt;&lt;titles&gt;&lt;title&gt;The influence of flood duration on the surface soil properties and grazing management of karst wetlands (turloughs) in Ireland&lt;/title&gt;&lt;secondary-title&gt;Hydrobiologia&lt;/secondary-title&gt;&lt;alt-title&gt;Hydrobiologia&lt;/alt-title&gt;&lt;/titles&gt;&lt;periodical&gt;&lt;full-title&gt;Hydrobiologia&lt;/full-title&gt;&lt;/periodical&gt;&lt;alt-periodical&gt;&lt;full-title&gt;Hydrobiologia&lt;/full-title&gt;&lt;/alt-periodical&gt;&lt;pages&gt;29-40&lt;/pages&gt;&lt;volume&gt;692&lt;/volume&gt;&lt;number&gt;1&lt;/number&gt;&lt;keywords&gt;&lt;keyword&gt;Irish turloughs&lt;/keyword&gt;&lt;keyword&gt;Soil nutrient properties&lt;/keyword&gt;&lt;keyword&gt;Land use&lt;/keyword&gt;&lt;keyword&gt;Flood duration&lt;/keyword&gt;&lt;keyword&gt;Flood frequency&lt;/keyword&gt;&lt;/keywords&gt;&lt;dates&gt;&lt;year&gt;2012&lt;/year&gt;&lt;pub-dates&gt;&lt;date&gt;2012/08/01&lt;/date&gt;&lt;/pub-dates&gt;&lt;/dates&gt;&lt;publisher&gt;Springer Netherlands&lt;/publisher&gt;&lt;isbn&gt;0018-8158&lt;/isbn&gt;&lt;urls&gt;&lt;related-urls&gt;&lt;url&gt;http://dx.doi.org/10.1007/s10750-012-1000-9&lt;/url&gt;&lt;/related-urls&gt;&lt;/urls&gt;&lt;electronic-resource-num&gt;10.1007/s10750-012-1000-9&lt;/electronic-resource-num&gt;&lt;language&gt;English&lt;/language&gt;&lt;/record&gt;&lt;/Cite&gt;&lt;/EndNote&gt;</w:instrText>
      </w:r>
      <w:r w:rsidRPr="00E65BAD">
        <w:rPr>
          <w:lang w:val="en-IE"/>
        </w:rPr>
        <w:fldChar w:fldCharType="separate"/>
      </w:r>
      <w:r w:rsidRPr="00E65BAD">
        <w:rPr>
          <w:lang w:val="en-IE"/>
        </w:rPr>
        <w:t>(</w:t>
      </w:r>
      <w:hyperlink w:anchor="_ENREF_21" w:tooltip="Kimberley, 2012 #347" w:history="1">
        <w:r w:rsidR="006B35EC" w:rsidRPr="00E65BAD">
          <w:t>Kimberley et al., 2012</w:t>
        </w:r>
      </w:hyperlink>
      <w:r w:rsidRPr="00E65BAD">
        <w:rPr>
          <w:lang w:val="en-IE"/>
        </w:rPr>
        <w:t>)</w:t>
      </w:r>
      <w:r w:rsidRPr="00E65BAD">
        <w:rPr>
          <w:lang w:val="en-IE"/>
        </w:rPr>
        <w:fldChar w:fldCharType="end"/>
      </w:r>
      <w:r w:rsidRPr="00E65BAD">
        <w:rPr>
          <w:lang w:val="en-IE"/>
        </w:rPr>
        <w:t xml:space="preserve"> which suggests that at the beginning of a flooded period the turloughs experience a burst in soluble forms of P which can be released upon inundation. </w:t>
      </w:r>
      <w:r>
        <w:rPr>
          <w:lang w:val="en-IE"/>
        </w:rPr>
        <w:t>In terms of temporal variation, the turloughs appear less influenced by loss mechanisms for P than for N (</w:t>
      </w:r>
      <w:r w:rsidR="006A2BF6">
        <w:rPr>
          <w:lang w:val="en-IE"/>
        </w:rPr>
        <w:fldChar w:fldCharType="begin"/>
      </w:r>
      <w:r w:rsidR="006A2BF6">
        <w:rPr>
          <w:lang w:val="en-IE"/>
        </w:rPr>
        <w:instrText xml:space="preserve"> REF _Ref414829291 \h </w:instrText>
      </w:r>
      <w:r w:rsidR="006A2BF6">
        <w:rPr>
          <w:lang w:val="en-IE"/>
        </w:rPr>
      </w:r>
      <w:r w:rsidR="006A2BF6">
        <w:rPr>
          <w:lang w:val="en-IE"/>
        </w:rPr>
        <w:fldChar w:fldCharType="separate"/>
      </w:r>
      <w:r w:rsidR="006A2BF6">
        <w:t xml:space="preserve">Figure </w:t>
      </w:r>
      <w:r w:rsidR="006A2BF6">
        <w:rPr>
          <w:noProof/>
        </w:rPr>
        <w:t>7</w:t>
      </w:r>
      <w:r w:rsidR="006A2BF6">
        <w:rPr>
          <w:lang w:val="en-IE"/>
        </w:rPr>
        <w:fldChar w:fldCharType="end"/>
      </w:r>
      <w:r w:rsidRPr="00E65BAD">
        <w:rPr>
          <w:lang w:val="en-IE"/>
        </w:rPr>
        <w:t>)</w:t>
      </w:r>
      <w:r>
        <w:rPr>
          <w:lang w:val="en-IE"/>
        </w:rPr>
        <w:t xml:space="preserve">, although </w:t>
      </w:r>
      <w:proofErr w:type="gramStart"/>
      <w:r>
        <w:rPr>
          <w:lang w:val="en-IE"/>
        </w:rPr>
        <w:t>Coy</w:t>
      </w:r>
      <w:proofErr w:type="gramEnd"/>
      <w:r>
        <w:rPr>
          <w:lang w:val="en-IE"/>
        </w:rPr>
        <w:t xml:space="preserve"> turlough did display some P losses over the flooded period. </w:t>
      </w:r>
      <w:r w:rsidRPr="00E65BAD">
        <w:rPr>
          <w:lang w:val="en-IE"/>
        </w:rPr>
        <w:t>Unlike N, the P cycle in lakes has no gaseous loss mechanism, thus any P added to the surcharge tank turloughs should remain within the system until drainage, but not necessarily the water column</w:t>
      </w:r>
      <w:r>
        <w:rPr>
          <w:lang w:val="en-IE"/>
        </w:rPr>
        <w:t xml:space="preserve"> </w:t>
      </w:r>
      <w:r>
        <w:rPr>
          <w:lang w:val="en-IE"/>
        </w:rPr>
        <w:fldChar w:fldCharType="begin"/>
      </w:r>
      <w:r>
        <w:rPr>
          <w:lang w:val="en-IE"/>
        </w:rPr>
        <w:instrText xml:space="preserve"> ADDIN EN.CITE &lt;EndNote&gt;&lt;Cite&gt;&lt;Author&gt;Reddy&lt;/Author&gt;&lt;Year&gt;2008&lt;/Year&gt;&lt;RecNum&gt;493&lt;/RecNum&gt;&lt;DisplayText&gt;(Reddy and DeLaune, 2008)&lt;/DisplayText&gt;&lt;record&gt;&lt;rec-number&gt;493&lt;/rec-number&gt;&lt;foreign-keys&gt;&lt;key app="EN" db-id="dswvr2vdivtsvfepswzvft9gtsxe5zxfaavp" timestamp="1378216060"&gt;493&lt;/key&gt;&lt;/foreign-keys&gt;&lt;ref-type name="Book"&gt;6&lt;/ref-type&gt;&lt;contributors&gt;&lt;authors&gt;&lt;author&gt;Reddy, K.R.&lt;/author&gt;&lt;author&gt;DeLaune, W.H. &lt;/author&gt;&lt;/authors&gt;&lt;/contributors&gt;&lt;titles&gt;&lt;title&gt;Biogeochemistry of Wetlands&lt;/title&gt;&lt;/titles&gt;&lt;dates&gt;&lt;year&gt;2008&lt;/year&gt;&lt;/dates&gt;&lt;publisher&gt;Academic Press Ltd&lt;/publisher&gt;&lt;urls&gt;&lt;/urls&gt;&lt;/record&gt;&lt;/Cite&gt;&lt;/EndNote&gt;</w:instrText>
      </w:r>
      <w:r>
        <w:rPr>
          <w:lang w:val="en-IE"/>
        </w:rPr>
        <w:fldChar w:fldCharType="separate"/>
      </w:r>
      <w:r>
        <w:rPr>
          <w:lang w:val="en-IE"/>
        </w:rPr>
        <w:t>(</w:t>
      </w:r>
      <w:hyperlink w:anchor="_ENREF_32" w:tooltip="Reddy, 2008 #493" w:history="1">
        <w:r w:rsidR="006B35EC" w:rsidRPr="00E65BAD">
          <w:t>Reddy and DeLaune, 2008</w:t>
        </w:r>
      </w:hyperlink>
      <w:r>
        <w:rPr>
          <w:lang w:val="en-IE"/>
        </w:rPr>
        <w:t>)</w:t>
      </w:r>
      <w:r>
        <w:rPr>
          <w:lang w:val="en-IE"/>
        </w:rPr>
        <w:fldChar w:fldCharType="end"/>
      </w:r>
      <w:r>
        <w:rPr>
          <w:lang w:val="en-IE"/>
        </w:rPr>
        <w:t xml:space="preserve">. One of the predominant mechanisms by which P is transformed / removed from lake systems is sedimentation </w:t>
      </w:r>
      <w:r w:rsidRPr="00E65BAD">
        <w:rPr>
          <w:lang w:val="en-IE"/>
        </w:rPr>
        <w:t>and subsequent accumulation and soil deposition. In turloughs however, the relatively short residence times probably limit the impact of sedimentation. Also, the occurrence of ‘internal loading’ (whereby P is adsorbed onto sediment during eutrophic periods only to be re-released back into the water column later on when concentrations</w:t>
      </w:r>
      <w:r>
        <w:rPr>
          <w:szCs w:val="22"/>
          <w:lang w:val="en-IE"/>
        </w:rPr>
        <w:t xml:space="preserve"> are reduced) might hinder any reduction in P concentrations over the flooded period.  </w:t>
      </w:r>
    </w:p>
    <w:p w:rsidR="009A373F" w:rsidRDefault="009A373F" w:rsidP="009A373F"/>
    <w:p w:rsidR="00C55AD4" w:rsidRPr="00C55AD4" w:rsidRDefault="00E65BAD" w:rsidP="00E65BAD">
      <w:pPr>
        <w:rPr>
          <w:szCs w:val="22"/>
          <w:lang w:val="en-IE"/>
        </w:rPr>
      </w:pPr>
      <w:r>
        <w:rPr>
          <w:szCs w:val="22"/>
          <w:lang w:val="en-IE"/>
        </w:rPr>
        <w:t xml:space="preserve">Finally, in carbonate aquifers, P is known to be lost from water due to the formation of calcium phosphate compounds </w:t>
      </w:r>
      <w:r>
        <w:rPr>
          <w:szCs w:val="22"/>
          <w:lang w:val="en-IE"/>
        </w:rPr>
        <w:fldChar w:fldCharType="begin"/>
      </w:r>
      <w:r w:rsidR="003770AA">
        <w:rPr>
          <w:szCs w:val="22"/>
          <w:lang w:val="en-IE"/>
        </w:rPr>
        <w:instrText xml:space="preserve"> ADDIN EN.CITE &lt;EndNote&gt;&lt;Cite&gt;&lt;Author&gt;von Wandruszka&lt;/Author&gt;&lt;Year&gt;2006&lt;/Year&gt;&lt;RecNum&gt;540&lt;/RecNum&gt;&lt;DisplayText&gt;(von Wandruszka, 2006;Cable et al., 2002)&lt;/DisplayText&gt;&lt;record&gt;&lt;rec-number&gt;540&lt;/rec-number&gt;&lt;foreign-keys&gt;&lt;key app="EN" db-id="dswvr2vdivtsvfepswzvft9gtsxe5zxfaavp" timestamp="1402066036"&gt;540&lt;/key&gt;&lt;/foreign-keys&gt;&lt;ref-type name="Journal Article"&gt;17&lt;/ref-type&gt;&lt;contributors&gt;&lt;authors&gt;&lt;author&gt;von Wandruszka, Ray&lt;/author&gt;&lt;/authors&gt;&lt;/contributors&gt;&lt;titles&gt;&lt;title&gt;Phosphorus retention in calcareous soils and the effect of organic matter on its mobility&lt;/title&gt;&lt;secondary-title&gt;Geochemical Transactions&lt;/secondary-title&gt;&lt;alt-title&gt;Geochem Trans&lt;/alt-title&gt;&lt;/titles&gt;&lt;periodical&gt;&lt;full-title&gt;Geochemical Transactions&lt;/full-title&gt;&lt;abbr-1&gt;Geochem Trans&lt;/abbr-1&gt;&lt;/periodical&gt;&lt;alt-periodical&gt;&lt;full-title&gt;Geochemical Transactions&lt;/full-title&gt;&lt;abbr-1&gt;Geochem Trans&lt;/abbr-1&gt;&lt;/alt-periodical&gt;&lt;pages&gt;1-8&lt;/pages&gt;&lt;volume&gt;7&lt;/volume&gt;&lt;number&gt;1&lt;/number&gt;&lt;dates&gt;&lt;year&gt;2006&lt;/year&gt;&lt;pub-dates&gt;&lt;date&gt;2006/06/12&lt;/date&gt;&lt;/pub-dates&gt;&lt;/dates&gt;&lt;publisher&gt;Chemistry Central&lt;/publisher&gt;&lt;urls&gt;&lt;related-urls&gt;&lt;url&gt;http://dx.doi.org/10.1186/1467-4866-7-6&lt;/url&gt;&lt;/related-urls&gt;&lt;/urls&gt;&lt;custom7&gt;6&lt;/custom7&gt;&lt;electronic-resource-num&gt;10.1186/1467-4866-7-6&lt;/electronic-resource-num&gt;&lt;language&gt;English&lt;/language&gt;&lt;/record&gt;&lt;/Cite&gt;&lt;Cite&gt;&lt;Author&gt;Cable&lt;/Author&gt;&lt;Year&gt;2002&lt;/Year&gt;&lt;RecNum&gt;463&lt;/RecNum&gt;&lt;record&gt;&lt;rec-number&gt;463&lt;/rec-number&gt;&lt;foreign-keys&gt;&lt;key app="EN" db-id="dswvr2vdivtsvfepswzvft9gtsxe5zxfaavp" timestamp="1374696119"&gt;463&lt;/key&gt;&lt;/foreign-keys&gt;&lt;ref-type name="Journal Article"&gt;17&lt;/ref-type&gt;&lt;contributors&gt;&lt;authors&gt;&lt;author&gt;Cable, J.E.&lt;/author&gt;&lt;author&gt;Riede Corbett, D. &lt;/author&gt;&lt;author&gt;Walsh, M.M.&lt;/author&gt;&lt;/authors&gt;&lt;/contributors&gt;&lt;titles&gt;&lt;title&gt;Phosphate Uptake in Coastal Limestone Aquifers: A Fresh Look At Wastewater Management&lt;/title&gt;&lt;secondary-title&gt;Limnol Oceanogr Bull&lt;/secondary-title&gt;&lt;/titles&gt;&lt;periodical&gt;&lt;full-title&gt;Limnol Oceanogr Bull&lt;/full-title&gt;&lt;/periodical&gt;&lt;pages&gt;29-32&lt;/pages&gt;&lt;volume&gt;11&lt;/volume&gt;&lt;number&gt;2&lt;/number&gt;&lt;dates&gt;&lt;year&gt;2002&lt;/year&gt;&lt;/dates&gt;&lt;urls&gt;&lt;/urls&gt;&lt;/record&gt;&lt;/Cite&gt;&lt;/EndNote&gt;</w:instrText>
      </w:r>
      <w:r>
        <w:rPr>
          <w:szCs w:val="22"/>
          <w:lang w:val="en-IE"/>
        </w:rPr>
        <w:fldChar w:fldCharType="separate"/>
      </w:r>
      <w:r w:rsidR="003770AA">
        <w:rPr>
          <w:noProof/>
          <w:szCs w:val="22"/>
          <w:lang w:val="en-IE"/>
        </w:rPr>
        <w:t>(</w:t>
      </w:r>
      <w:hyperlink w:anchor="_ENREF_40" w:tooltip="von Wandruszka, 2006 #540" w:history="1">
        <w:r w:rsidR="006B35EC">
          <w:rPr>
            <w:noProof/>
            <w:szCs w:val="22"/>
            <w:lang w:val="en-IE"/>
          </w:rPr>
          <w:t>von Wandruszka, 2006</w:t>
        </w:r>
      </w:hyperlink>
      <w:r w:rsidR="003770AA">
        <w:rPr>
          <w:noProof/>
          <w:szCs w:val="22"/>
          <w:lang w:val="en-IE"/>
        </w:rPr>
        <w:t>;</w:t>
      </w:r>
      <w:hyperlink w:anchor="_ENREF_3" w:tooltip="Cable, 2002 #463" w:history="1">
        <w:r w:rsidR="006B35EC">
          <w:rPr>
            <w:noProof/>
            <w:szCs w:val="22"/>
            <w:lang w:val="en-IE"/>
          </w:rPr>
          <w:t>Cable et al., 2002</w:t>
        </w:r>
      </w:hyperlink>
      <w:r w:rsidR="003770AA">
        <w:rPr>
          <w:noProof/>
          <w:szCs w:val="22"/>
          <w:lang w:val="en-IE"/>
        </w:rPr>
        <w:t>)</w:t>
      </w:r>
      <w:r>
        <w:rPr>
          <w:szCs w:val="22"/>
          <w:lang w:val="en-IE"/>
        </w:rPr>
        <w:fldChar w:fldCharType="end"/>
      </w:r>
      <w:r>
        <w:rPr>
          <w:szCs w:val="22"/>
          <w:lang w:val="en-IE"/>
        </w:rPr>
        <w:t>. This process is unlikely to affect water within the turloughs, although it could be an ac</w:t>
      </w:r>
      <w:r w:rsidR="001D1700">
        <w:rPr>
          <w:szCs w:val="22"/>
          <w:lang w:val="en-IE"/>
        </w:rPr>
        <w:t>tive process within the diffuse</w:t>
      </w:r>
      <w:r>
        <w:rPr>
          <w:szCs w:val="22"/>
          <w:lang w:val="en-IE"/>
        </w:rPr>
        <w:t xml:space="preserve"> portion of the </w:t>
      </w:r>
      <w:r w:rsidRPr="00C55AD4">
        <w:rPr>
          <w:szCs w:val="22"/>
          <w:lang w:val="en-IE"/>
        </w:rPr>
        <w:t xml:space="preserve">catchment. </w:t>
      </w:r>
      <w:r w:rsidR="00C55AD4" w:rsidRPr="00C55AD4">
        <w:rPr>
          <w:szCs w:val="22"/>
          <w:lang w:val="en-IE"/>
        </w:rPr>
        <w:t>As such, this process may limit that amount of P entering the conduit system from the diffuse portion of the catchment (i.e. the model subcatchments), which could e</w:t>
      </w:r>
      <w:r w:rsidR="00A67BB6">
        <w:rPr>
          <w:szCs w:val="22"/>
          <w:lang w:val="en-IE"/>
        </w:rPr>
        <w:t>xplain the apparent loss of P by the time the water reaches the main outfall spring at</w:t>
      </w:r>
      <w:r w:rsidR="00C55AD4" w:rsidRPr="00C55AD4">
        <w:rPr>
          <w:szCs w:val="22"/>
          <w:lang w:val="en-IE"/>
        </w:rPr>
        <w:t xml:space="preserve"> Kinvara (Section </w:t>
      </w:r>
      <w:r w:rsidR="00C55AD4" w:rsidRPr="00C55AD4">
        <w:rPr>
          <w:szCs w:val="22"/>
          <w:lang w:val="en-IE"/>
        </w:rPr>
        <w:fldChar w:fldCharType="begin"/>
      </w:r>
      <w:r w:rsidR="00C55AD4" w:rsidRPr="00C55AD4">
        <w:rPr>
          <w:szCs w:val="22"/>
          <w:lang w:val="en-IE"/>
        </w:rPr>
        <w:instrText xml:space="preserve"> REF _Ref389580846 \r \h </w:instrText>
      </w:r>
      <w:r w:rsidR="00C55AD4" w:rsidRPr="00C55AD4">
        <w:rPr>
          <w:szCs w:val="22"/>
          <w:lang w:val="en-IE"/>
        </w:rPr>
      </w:r>
      <w:r w:rsidR="00C55AD4" w:rsidRPr="00C55AD4">
        <w:rPr>
          <w:szCs w:val="22"/>
          <w:lang w:val="en-IE"/>
        </w:rPr>
        <w:fldChar w:fldCharType="separate"/>
      </w:r>
      <w:r w:rsidR="00E40475">
        <w:rPr>
          <w:szCs w:val="22"/>
          <w:lang w:val="en-IE"/>
        </w:rPr>
        <w:t>4.4</w:t>
      </w:r>
      <w:r w:rsidR="00C55AD4" w:rsidRPr="00C55AD4">
        <w:rPr>
          <w:szCs w:val="22"/>
          <w:lang w:val="en-IE"/>
        </w:rPr>
        <w:fldChar w:fldCharType="end"/>
      </w:r>
      <w:r w:rsidR="00C55AD4" w:rsidRPr="00C55AD4">
        <w:rPr>
          <w:szCs w:val="22"/>
          <w:lang w:val="en-IE"/>
        </w:rPr>
        <w:t>) while very little loss of P was evidenced within the turloughs (i.e. P loss from autogenic recharge occurs within the groundwater before it reaches the turloughs).</w:t>
      </w:r>
    </w:p>
    <w:p w:rsidR="00893356" w:rsidRPr="00331CA4" w:rsidRDefault="00893356" w:rsidP="00331CA4"/>
    <w:p w:rsidR="00EB7480" w:rsidRDefault="003D44C8" w:rsidP="009158ED">
      <w:pPr>
        <w:pStyle w:val="Heading1"/>
        <w:rPr>
          <w:shd w:val="clear" w:color="auto" w:fill="FFFFFF"/>
        </w:rPr>
      </w:pPr>
      <w:r w:rsidRPr="00171520">
        <w:rPr>
          <w:shd w:val="clear" w:color="auto" w:fill="FFFFFF"/>
        </w:rPr>
        <w:t>Conclusion</w:t>
      </w:r>
      <w:r w:rsidR="007B688E" w:rsidRPr="00171520">
        <w:rPr>
          <w:shd w:val="clear" w:color="auto" w:fill="FFFFFF"/>
        </w:rPr>
        <w:t>s</w:t>
      </w:r>
    </w:p>
    <w:p w:rsidR="00E65BAD" w:rsidRDefault="00E65BAD" w:rsidP="00E65BAD">
      <w:r>
        <w:t xml:space="preserve">The alkalinity and nutrient flux within a lowland karst catchment has been monitored over a three year period. The allogenic nature of this catchment provides distinct hydrochemical characteristics, as demonstrated by the alkalinity results. The allogenically fed river-conduit-turlough network displays relatively low alkalinity concentrations compared to the more autogenic slow moving water found within the surrounding epikarst/diffuse aquifer.  Within the turloughs, alkalinity was able to easily distinguish between the flow through turloughs (Blackrock, Coole) and the surcharge tank turloughs (Coy, Garryland, Caherglassaun). Flow through turloughs displayed a distinct pattern whereby a significant influx of fresh water could cause a noticeable change in hydrochemistry over time. This is in contrast to the surcharge tank turloughs which showed stable alkalinity </w:t>
      </w:r>
      <w:r>
        <w:lastRenderedPageBreak/>
        <w:t xml:space="preserve">concentrations with a slow increase over time due to the influx of diffuse recharge from the surrounding aquifer.  </w:t>
      </w:r>
    </w:p>
    <w:p w:rsidR="00002CA8" w:rsidRDefault="00002CA8" w:rsidP="00AC66CC"/>
    <w:p w:rsidR="00CF643D" w:rsidRDefault="00CF643D" w:rsidP="00CF643D">
      <w:r>
        <w:t xml:space="preserve">Unlike alkalinity, nutrient concentrations within the catchment are primarily influenced by anthropogenic processes, i.e. agriculture. As a result, the nutrient flux within the catchment displayed a greater degree of complexity, particularly as a result of the contrasting mobility traits of N and P. By combining the hydraulic model with conservative nutrient concentrations, insights were gained into how the turloughs should conceptually operate. This showed that while the flow through turloughs behaved somewhat as would be expected, the surcharge tank turloughs showed evidence of N losses (i.e. non-conservative behaviour) occurring over the course of the flooded season, which was attributed to be most likely due to  the process of denitrification. As a result of the loss of N within the turloughs, the gain in nutrient loading observed at </w:t>
      </w:r>
      <w:r w:rsidR="00462EC2">
        <w:t xml:space="preserve">the </w:t>
      </w:r>
      <w:r>
        <w:t xml:space="preserve">Kinvara West </w:t>
      </w:r>
      <w:r w:rsidR="00462EC2">
        <w:t xml:space="preserve">spring </w:t>
      </w:r>
      <w:r>
        <w:t xml:space="preserve">(due to the influx </w:t>
      </w:r>
      <w:r w:rsidRPr="00607AE7">
        <w:t xml:space="preserve">of N-rich diffuse groundwater) was found to be lower than expected (an increase of 36% rather than </w:t>
      </w:r>
      <w:r w:rsidR="001C1EF2" w:rsidRPr="00607AE7">
        <w:t>85</w:t>
      </w:r>
      <w:r w:rsidRPr="00607AE7">
        <w:t xml:space="preserve">% as predicted by the model). For P, net losses were also evident at Kinvara, but not as obvious within the turloughs, suggesting perhaps </w:t>
      </w:r>
      <w:r w:rsidRPr="00E535CE">
        <w:t xml:space="preserve">that the main P sink within the catchment is the carbonate aquifer itself - due to the formation of calcium phosphate compounds. </w:t>
      </w:r>
    </w:p>
    <w:p w:rsidR="00187366" w:rsidRDefault="00187366" w:rsidP="00AC66CC"/>
    <w:p w:rsidR="00070F9B" w:rsidRDefault="00070F9B" w:rsidP="00CF643D">
      <w:r>
        <w:t>Due to the sensitivities of Kinvara Bay and the Gort Lowlands, the nutrient flux within the karst</w:t>
      </w:r>
      <w:r w:rsidR="00CF643D">
        <w:t xml:space="preserve"> </w:t>
      </w:r>
      <w:r>
        <w:t>system</w:t>
      </w:r>
      <w:r w:rsidR="00CF643D">
        <w:t xml:space="preserve"> is an important process to understand and quantify. The process is especially important in the context of the likely future pres</w:t>
      </w:r>
      <w:r>
        <w:t xml:space="preserve">sures which the catchment faces such as the Irish Government’s Food Harvest 2020 Plan which will potentially lead to increased nutrient loading in most Irish catchments. </w:t>
      </w:r>
    </w:p>
    <w:p w:rsidR="00070F9B" w:rsidRDefault="00070F9B" w:rsidP="00AC66CC"/>
    <w:p w:rsidR="00C74240" w:rsidRDefault="00C74240" w:rsidP="00AC66CC"/>
    <w:p w:rsidR="00800BE9" w:rsidRPr="00C74240" w:rsidRDefault="00C74240" w:rsidP="00533549">
      <w:pPr>
        <w:rPr>
          <w:rFonts w:eastAsiaTheme="minorEastAsia"/>
          <w:b/>
          <w:szCs w:val="22"/>
          <w:lang w:val="en-IE"/>
        </w:rPr>
      </w:pPr>
      <w:r w:rsidRPr="00C74240">
        <w:rPr>
          <w:rFonts w:eastAsiaTheme="minorEastAsia"/>
          <w:b/>
          <w:szCs w:val="22"/>
          <w:lang w:val="en-IE"/>
        </w:rPr>
        <w:t xml:space="preserve">ACKNOWLEDGMENTS </w:t>
      </w:r>
    </w:p>
    <w:p w:rsidR="00C74240" w:rsidRPr="001C5522" w:rsidRDefault="00C74240" w:rsidP="00C74240">
      <w:pPr>
        <w:rPr>
          <w:szCs w:val="28"/>
          <w:lang w:val="en-IE"/>
        </w:rPr>
      </w:pPr>
      <w:r w:rsidRPr="004D506E">
        <w:rPr>
          <w:szCs w:val="28"/>
          <w:lang w:val="en-IE"/>
        </w:rPr>
        <w:t xml:space="preserve">The funding for this research was provided by the AXA Research Fund. We also wish to thank the farmers of south Galway who allowed access to their land </w:t>
      </w:r>
      <w:r>
        <w:rPr>
          <w:szCs w:val="28"/>
          <w:lang w:val="en-IE"/>
        </w:rPr>
        <w:t xml:space="preserve">throughout the research project and the </w:t>
      </w:r>
      <w:r w:rsidRPr="001C5522">
        <w:rPr>
          <w:szCs w:val="28"/>
          <w:lang w:val="en-IE"/>
        </w:rPr>
        <w:t xml:space="preserve">Office of Public Works for providing river flow data. </w:t>
      </w:r>
    </w:p>
    <w:p w:rsidR="00C74240" w:rsidRPr="001C5522" w:rsidRDefault="00C74240" w:rsidP="00533549">
      <w:pPr>
        <w:rPr>
          <w:rFonts w:eastAsiaTheme="minorEastAsia"/>
          <w:szCs w:val="22"/>
          <w:lang w:val="en-IE"/>
        </w:rPr>
      </w:pPr>
    </w:p>
    <w:p w:rsidR="00C74240" w:rsidRPr="001C5522" w:rsidRDefault="00C74240" w:rsidP="00533549">
      <w:pPr>
        <w:rPr>
          <w:rFonts w:eastAsiaTheme="minorEastAsia"/>
          <w:szCs w:val="22"/>
          <w:lang w:val="en-IE"/>
        </w:rPr>
      </w:pPr>
    </w:p>
    <w:p w:rsidR="001C1EF2" w:rsidRPr="001C5522" w:rsidRDefault="00C74240" w:rsidP="00533549">
      <w:pPr>
        <w:rPr>
          <w:rFonts w:eastAsiaTheme="minorEastAsia"/>
          <w:b/>
          <w:szCs w:val="22"/>
          <w:lang w:val="en-IE"/>
        </w:rPr>
      </w:pPr>
      <w:r w:rsidRPr="001C5522">
        <w:rPr>
          <w:rFonts w:eastAsiaTheme="minorEastAsia"/>
          <w:b/>
          <w:szCs w:val="22"/>
          <w:lang w:val="en-IE"/>
        </w:rPr>
        <w:t xml:space="preserve">REFERENCES </w:t>
      </w:r>
    </w:p>
    <w:p w:rsidR="006B35EC" w:rsidRPr="006B35EC" w:rsidRDefault="00EB7480" w:rsidP="006B35EC">
      <w:pPr>
        <w:pStyle w:val="EndNoteBibliography"/>
      </w:pPr>
      <w:r w:rsidRPr="00171520">
        <w:rPr>
          <w:rFonts w:eastAsiaTheme="minorEastAsia"/>
          <w:lang w:val="en-IE"/>
        </w:rPr>
        <w:fldChar w:fldCharType="begin"/>
      </w:r>
      <w:r w:rsidRPr="00171520">
        <w:rPr>
          <w:rFonts w:eastAsiaTheme="minorEastAsia"/>
          <w:lang w:val="en-IE"/>
        </w:rPr>
        <w:instrText xml:space="preserve"> ADDIN EN.REFLIST </w:instrText>
      </w:r>
      <w:r w:rsidRPr="00171520">
        <w:rPr>
          <w:rFonts w:eastAsiaTheme="minorEastAsia"/>
          <w:lang w:val="en-IE"/>
        </w:rPr>
        <w:fldChar w:fldCharType="separate"/>
      </w:r>
      <w:bookmarkStart w:id="11" w:name="_ENREF_1"/>
      <w:r w:rsidR="006B35EC" w:rsidRPr="006B35EC">
        <w:t>Alexandratos, N., and Bruinsma, J.: World agriculture towards 2030/2050: the 2012 revision, ESA Working paper No. 12-03. Rome, FAO., 2012.</w:t>
      </w:r>
    </w:p>
    <w:bookmarkEnd w:id="11"/>
    <w:p w:rsidR="006B35EC" w:rsidRPr="006B35EC" w:rsidRDefault="006B35EC" w:rsidP="006B35EC">
      <w:pPr>
        <w:pStyle w:val="EndNoteBibliography"/>
      </w:pPr>
    </w:p>
    <w:p w:rsidR="006B35EC" w:rsidRPr="006B35EC" w:rsidRDefault="006B35EC" w:rsidP="006B35EC">
      <w:pPr>
        <w:pStyle w:val="EndNoteBibliography"/>
      </w:pPr>
      <w:bookmarkStart w:id="12" w:name="_ENREF_2"/>
      <w:r w:rsidRPr="006B35EC">
        <w:lastRenderedPageBreak/>
        <w:t>APHA: Standard Methods for Examination of Water &amp; Wastewater, American Public Health Association 20th Edition, Washington D.C., 1999.</w:t>
      </w:r>
    </w:p>
    <w:bookmarkEnd w:id="12"/>
    <w:p w:rsidR="006B35EC" w:rsidRPr="006B35EC" w:rsidRDefault="006B35EC" w:rsidP="006B35EC">
      <w:pPr>
        <w:pStyle w:val="EndNoteBibliography"/>
      </w:pPr>
    </w:p>
    <w:p w:rsidR="006B35EC" w:rsidRPr="006B35EC" w:rsidRDefault="006B35EC" w:rsidP="006B35EC">
      <w:pPr>
        <w:pStyle w:val="EndNoteBibliography"/>
      </w:pPr>
      <w:bookmarkStart w:id="13" w:name="_ENREF_3"/>
      <w:r w:rsidRPr="006B35EC">
        <w:t>Cable, J. E., Riede Corbett, D., and Walsh, M. M.: Phosphate Uptake in Coastal Limestone Aquifers: A Fresh Look At Wastewater Management, Limnol Oceanogr Bull, 11, 29-32, 2002.</w:t>
      </w:r>
    </w:p>
    <w:bookmarkEnd w:id="13"/>
    <w:p w:rsidR="006B35EC" w:rsidRPr="006B35EC" w:rsidRDefault="006B35EC" w:rsidP="006B35EC">
      <w:pPr>
        <w:pStyle w:val="EndNoteBibliography"/>
      </w:pPr>
    </w:p>
    <w:p w:rsidR="006B35EC" w:rsidRPr="006B35EC" w:rsidRDefault="006B35EC" w:rsidP="006B35EC">
      <w:pPr>
        <w:pStyle w:val="EndNoteBibliography"/>
      </w:pPr>
      <w:bookmarkStart w:id="14" w:name="_ENREF_4"/>
      <w:r w:rsidRPr="006B35EC">
        <w:t>Coxon, C. E.: Carbonate Deposition in Turloughs (Seasonal Lakes) on the Western Limestone Lowlands of Ireland.  I: Present day processes., Irish Geography, 27, 14-27, 10.1080/00750779409478695, 1994.</w:t>
      </w:r>
    </w:p>
    <w:bookmarkEnd w:id="14"/>
    <w:p w:rsidR="006B35EC" w:rsidRPr="006B35EC" w:rsidRDefault="006B35EC" w:rsidP="006B35EC">
      <w:pPr>
        <w:pStyle w:val="EndNoteBibliography"/>
      </w:pPr>
    </w:p>
    <w:p w:rsidR="006B35EC" w:rsidRPr="006B35EC" w:rsidRDefault="006B35EC" w:rsidP="006B35EC">
      <w:pPr>
        <w:pStyle w:val="EndNoteBibliography"/>
      </w:pPr>
      <w:bookmarkStart w:id="15" w:name="_ENREF_5"/>
      <w:r w:rsidRPr="006B35EC">
        <w:t>Coxon, C. E.: Agriculture and Karst, in: Karst Management, edited by: Beynen, P. E., Springer, 103-138, 2011.</w:t>
      </w:r>
    </w:p>
    <w:bookmarkEnd w:id="15"/>
    <w:p w:rsidR="006B35EC" w:rsidRPr="006B35EC" w:rsidRDefault="006B35EC" w:rsidP="006B35EC">
      <w:pPr>
        <w:pStyle w:val="EndNoteBibliography"/>
      </w:pPr>
    </w:p>
    <w:p w:rsidR="006B35EC" w:rsidRPr="006B35EC" w:rsidRDefault="006B35EC" w:rsidP="006B35EC">
      <w:pPr>
        <w:pStyle w:val="EndNoteBibliography"/>
      </w:pPr>
      <w:bookmarkStart w:id="16" w:name="_ENREF_6"/>
      <w:r w:rsidRPr="006B35EC">
        <w:t>Cunha Pereira, H., Allott, N., and Coxon, C. E.: Are seasonal lakes as productive as permanent lakes? A case study from Ireland, Canadian Journal of Fisheries and Aquatic Sciences, 67, 1291-1302, doi:10.1139/F10-062, 2010.</w:t>
      </w:r>
    </w:p>
    <w:bookmarkEnd w:id="16"/>
    <w:p w:rsidR="006B35EC" w:rsidRPr="006B35EC" w:rsidRDefault="006B35EC" w:rsidP="006B35EC">
      <w:pPr>
        <w:pStyle w:val="EndNoteBibliography"/>
      </w:pPr>
    </w:p>
    <w:p w:rsidR="006B35EC" w:rsidRPr="006B35EC" w:rsidRDefault="006B35EC" w:rsidP="006B35EC">
      <w:pPr>
        <w:pStyle w:val="EndNoteBibliography"/>
      </w:pPr>
      <w:bookmarkStart w:id="17" w:name="_ENREF_7"/>
      <w:r w:rsidRPr="006B35EC">
        <w:t>Cunha Pereira, H.: Hydrochemistry and Algal Communities of Turloughs (Karst Seasonal Lakes), Centre for the Environment, Trinity College Dublin, 2011.</w:t>
      </w:r>
    </w:p>
    <w:bookmarkEnd w:id="17"/>
    <w:p w:rsidR="006B35EC" w:rsidRPr="006B35EC" w:rsidRDefault="006B35EC" w:rsidP="006B35EC">
      <w:pPr>
        <w:pStyle w:val="EndNoteBibliography"/>
      </w:pPr>
    </w:p>
    <w:p w:rsidR="006B35EC" w:rsidRPr="006B35EC" w:rsidRDefault="006B35EC" w:rsidP="006B35EC">
      <w:pPr>
        <w:pStyle w:val="EndNoteBibliography"/>
      </w:pPr>
      <w:bookmarkStart w:id="18" w:name="_ENREF_8"/>
      <w:r w:rsidRPr="006B35EC">
        <w:t>Davraz, A., Karaguzel, R., Soyaslan, I., Sener, E., Seyman, F., and Sener, S.: Hydrogeology of karst aquifer systems in SW Turkey and an assessment of water quality and contamination problems, Environmental Geology, 58, 973-988, 10.1007/s00254-008-1577-5, 2009.</w:t>
      </w:r>
    </w:p>
    <w:bookmarkEnd w:id="18"/>
    <w:p w:rsidR="006B35EC" w:rsidRPr="006B35EC" w:rsidRDefault="006B35EC" w:rsidP="006B35EC">
      <w:pPr>
        <w:pStyle w:val="EndNoteBibliography"/>
      </w:pPr>
    </w:p>
    <w:p w:rsidR="006B35EC" w:rsidRPr="006B35EC" w:rsidRDefault="006B35EC" w:rsidP="006B35EC">
      <w:pPr>
        <w:pStyle w:val="EndNoteBibliography"/>
      </w:pPr>
      <w:bookmarkStart w:id="19" w:name="_ENREF_9"/>
      <w:r w:rsidRPr="006B35EC">
        <w:t>Department of Agriculture Fisheries and Food: Food Harvest 2020 - A Vision for Irish Agri-Food and Fisheries, Agriculture House, Kildare St. Dublin 2, Ireland, 2010.</w:t>
      </w:r>
    </w:p>
    <w:bookmarkEnd w:id="19"/>
    <w:p w:rsidR="006B35EC" w:rsidRPr="006B35EC" w:rsidRDefault="006B35EC" w:rsidP="006B35EC">
      <w:pPr>
        <w:pStyle w:val="EndNoteBibliography"/>
      </w:pPr>
    </w:p>
    <w:p w:rsidR="006B35EC" w:rsidRPr="006B35EC" w:rsidRDefault="006B35EC" w:rsidP="006B35EC">
      <w:pPr>
        <w:pStyle w:val="EndNoteBibliography"/>
      </w:pPr>
      <w:bookmarkStart w:id="20" w:name="_ENREF_10"/>
      <w:r w:rsidRPr="006B35EC">
        <w:t>Domagalski, J. L., and Johnson, H.: Phosphorus and Groundwater: Establishing Links Between Agricultural Use and Transport to Streams: U.S. Geological Survey Fact Sheet 2012-3004, 2012.</w:t>
      </w:r>
    </w:p>
    <w:bookmarkEnd w:id="20"/>
    <w:p w:rsidR="006B35EC" w:rsidRPr="006B35EC" w:rsidRDefault="006B35EC" w:rsidP="006B35EC">
      <w:pPr>
        <w:pStyle w:val="EndNoteBibliography"/>
      </w:pPr>
    </w:p>
    <w:p w:rsidR="006B35EC" w:rsidRPr="006B35EC" w:rsidRDefault="006B35EC" w:rsidP="006B35EC">
      <w:pPr>
        <w:pStyle w:val="EndNoteBibliography"/>
      </w:pPr>
      <w:bookmarkStart w:id="21" w:name="_ENREF_11"/>
      <w:r w:rsidRPr="006B35EC">
        <w:t>Drew, D. P., and Daly, D.: Groundwater and karstification in Mid-Galway, South Mayo and North Clare, Geological Survey of IrelandRS 93/3, 1993.</w:t>
      </w:r>
    </w:p>
    <w:bookmarkEnd w:id="21"/>
    <w:p w:rsidR="006B35EC" w:rsidRPr="006B35EC" w:rsidRDefault="006B35EC" w:rsidP="006B35EC">
      <w:pPr>
        <w:pStyle w:val="EndNoteBibliography"/>
      </w:pPr>
    </w:p>
    <w:p w:rsidR="006B35EC" w:rsidRPr="006B35EC" w:rsidRDefault="006B35EC" w:rsidP="006B35EC">
      <w:pPr>
        <w:pStyle w:val="EndNoteBibliography"/>
      </w:pPr>
      <w:bookmarkStart w:id="22" w:name="_ENREF_12"/>
      <w:r w:rsidRPr="006B35EC">
        <w:t>Drew, D. P.: Hydrogeology of lowland karst in Ireland, Quarterly Journal of Engineering Geology and Hydrogeology, 41, 61-72, 10.1144/1470-9236/07-027, 2008.</w:t>
      </w:r>
    </w:p>
    <w:bookmarkEnd w:id="22"/>
    <w:p w:rsidR="006B35EC" w:rsidRPr="006B35EC" w:rsidRDefault="006B35EC" w:rsidP="006B35EC">
      <w:pPr>
        <w:pStyle w:val="EndNoteBibliography"/>
      </w:pPr>
    </w:p>
    <w:p w:rsidR="006B35EC" w:rsidRPr="006B35EC" w:rsidRDefault="006B35EC" w:rsidP="006B35EC">
      <w:pPr>
        <w:pStyle w:val="EndNoteBibliography"/>
      </w:pPr>
      <w:bookmarkStart w:id="23" w:name="_ENREF_13"/>
      <w:r w:rsidRPr="006B35EC">
        <w:t>European Parliament and Council: Directive 91/676/EEC concerning the protection of waters against pollution caused by nitrates from agricultural sources, Official Journal of the European Communities L 375/1 31.12.91, 1991.</w:t>
      </w:r>
    </w:p>
    <w:bookmarkEnd w:id="23"/>
    <w:p w:rsidR="006B35EC" w:rsidRPr="006B35EC" w:rsidRDefault="006B35EC" w:rsidP="006B35EC">
      <w:pPr>
        <w:pStyle w:val="EndNoteBibliography"/>
      </w:pPr>
    </w:p>
    <w:p w:rsidR="006B35EC" w:rsidRPr="006B35EC" w:rsidRDefault="006B35EC" w:rsidP="006B35EC">
      <w:pPr>
        <w:pStyle w:val="EndNoteBibliography"/>
      </w:pPr>
      <w:bookmarkStart w:id="24" w:name="_ENREF_14"/>
      <w:r w:rsidRPr="006B35EC">
        <w:t>European Parliament and Council: Directive 2000/60/EC establishing a framework for Community action in the field of water policy., Official Journal of the European Communities L 327/1 22.12.2000, 2000.</w:t>
      </w:r>
    </w:p>
    <w:bookmarkEnd w:id="24"/>
    <w:p w:rsidR="006B35EC" w:rsidRPr="006B35EC" w:rsidRDefault="006B35EC" w:rsidP="006B35EC">
      <w:pPr>
        <w:pStyle w:val="EndNoteBibliography"/>
      </w:pPr>
    </w:p>
    <w:p w:rsidR="006B35EC" w:rsidRPr="006B35EC" w:rsidRDefault="006B35EC" w:rsidP="006B35EC">
      <w:pPr>
        <w:pStyle w:val="EndNoteBibliography"/>
      </w:pPr>
      <w:bookmarkStart w:id="25" w:name="_ENREF_15"/>
      <w:r w:rsidRPr="006B35EC">
        <w:lastRenderedPageBreak/>
        <w:t>European Parliament and Council: Directive 2006/118/EC of the European Parliament and of the Council on the protection of groundwater against pollution and deterioration, Official journal of the European Union L372/19 27.12.2006, 2006.</w:t>
      </w:r>
    </w:p>
    <w:bookmarkEnd w:id="25"/>
    <w:p w:rsidR="006B35EC" w:rsidRPr="006B35EC" w:rsidRDefault="006B35EC" w:rsidP="006B35EC">
      <w:pPr>
        <w:pStyle w:val="EndNoteBibliography"/>
      </w:pPr>
    </w:p>
    <w:p w:rsidR="006B35EC" w:rsidRPr="006B35EC" w:rsidRDefault="006B35EC" w:rsidP="006B35EC">
      <w:pPr>
        <w:pStyle w:val="EndNoteBibliography"/>
      </w:pPr>
      <w:bookmarkStart w:id="26" w:name="_ENREF_16"/>
      <w:r w:rsidRPr="006B35EC">
        <w:t>Gill, L. W., Naughton, O., and Johnston, P.: Modelling a network of turloughs in lowland karst, Water Resources Research, 49, 3487-3503, 2013a.</w:t>
      </w:r>
    </w:p>
    <w:bookmarkEnd w:id="26"/>
    <w:p w:rsidR="006B35EC" w:rsidRPr="006B35EC" w:rsidRDefault="006B35EC" w:rsidP="006B35EC">
      <w:pPr>
        <w:pStyle w:val="EndNoteBibliography"/>
      </w:pPr>
    </w:p>
    <w:p w:rsidR="006B35EC" w:rsidRPr="006B35EC" w:rsidRDefault="006B35EC" w:rsidP="006B35EC">
      <w:pPr>
        <w:pStyle w:val="EndNoteBibliography"/>
      </w:pPr>
      <w:bookmarkStart w:id="27" w:name="_ENREF_17"/>
      <w:r w:rsidRPr="006B35EC">
        <w:t xml:space="preserve">Gill, L. W., Naughton, O., Johnston, P. M., Basu, B., and Ghosh, B.: Characterisation of hydrogeological connections in a lowland karst network using time series analysis of water levels in ephemeral groundwater-fed lakes (turloughs), Journal of Hydrology, </w:t>
      </w:r>
      <w:hyperlink r:id="rId10" w:history="1">
        <w:r w:rsidRPr="006B35EC">
          <w:rPr>
            <w:rStyle w:val="Hyperlink"/>
          </w:rPr>
          <w:t>http://dx.doi.org/10.1016/j.jhydrol.2013.07.002</w:t>
        </w:r>
      </w:hyperlink>
      <w:r w:rsidRPr="006B35EC">
        <w:t>, 2013b.</w:t>
      </w:r>
    </w:p>
    <w:bookmarkEnd w:id="27"/>
    <w:p w:rsidR="006B35EC" w:rsidRPr="006B35EC" w:rsidRDefault="006B35EC" w:rsidP="006B35EC">
      <w:pPr>
        <w:pStyle w:val="EndNoteBibliography"/>
      </w:pPr>
    </w:p>
    <w:p w:rsidR="006B35EC" w:rsidRPr="006B35EC" w:rsidRDefault="006B35EC" w:rsidP="006B35EC">
      <w:pPr>
        <w:pStyle w:val="EndNoteBibliography"/>
      </w:pPr>
      <w:bookmarkStart w:id="28" w:name="_ENREF_18"/>
      <w:r w:rsidRPr="006B35EC">
        <w:t xml:space="preserve">Hudak, P. F.: Regional trends in nitrate content of Texas groundwater, Journal of Hydrology, 228, 37-47, </w:t>
      </w:r>
      <w:hyperlink r:id="rId11" w:history="1">
        <w:r w:rsidRPr="006B35EC">
          <w:rPr>
            <w:rStyle w:val="Hyperlink"/>
          </w:rPr>
          <w:t>http://dx.doi.org/10.1016/S0022-1694(99)00206-1</w:t>
        </w:r>
      </w:hyperlink>
      <w:r w:rsidRPr="006B35EC">
        <w:t>, 2000.</w:t>
      </w:r>
    </w:p>
    <w:bookmarkEnd w:id="28"/>
    <w:p w:rsidR="006B35EC" w:rsidRPr="006B35EC" w:rsidRDefault="006B35EC" w:rsidP="006B35EC">
      <w:pPr>
        <w:pStyle w:val="EndNoteBibliography"/>
      </w:pPr>
    </w:p>
    <w:p w:rsidR="006B35EC" w:rsidRPr="006B35EC" w:rsidRDefault="006B35EC" w:rsidP="006B35EC">
      <w:pPr>
        <w:pStyle w:val="EndNoteBibliography"/>
      </w:pPr>
      <w:bookmarkStart w:id="29" w:name="_ENREF_19"/>
      <w:r w:rsidRPr="006B35EC">
        <w:t>Kaste, O., Stoddard, J. L., and Henriksen, A.: Implication of lake water residence time on the classification of Norwegian surface water sites into progressive stages of nitrogen saturation, Water Air and Soil Pollution, 142, 2003.</w:t>
      </w:r>
    </w:p>
    <w:bookmarkEnd w:id="29"/>
    <w:p w:rsidR="006B35EC" w:rsidRPr="006B35EC" w:rsidRDefault="006B35EC" w:rsidP="006B35EC">
      <w:pPr>
        <w:pStyle w:val="EndNoteBibliography"/>
      </w:pPr>
    </w:p>
    <w:p w:rsidR="006B35EC" w:rsidRPr="006B35EC" w:rsidRDefault="006B35EC" w:rsidP="006B35EC">
      <w:pPr>
        <w:pStyle w:val="EndNoteBibliography"/>
      </w:pPr>
      <w:bookmarkStart w:id="30" w:name="_ENREF_20"/>
      <w:r w:rsidRPr="006B35EC">
        <w:t>Kilroy, G., and Coxon, C. E.: Temporal variability of phosphorus fractions in Irish karst springs, Environmental Geology, 47, 421-430, 10.1007/s00254-004-1171-4, 2005.</w:t>
      </w:r>
    </w:p>
    <w:bookmarkEnd w:id="30"/>
    <w:p w:rsidR="006B35EC" w:rsidRPr="006B35EC" w:rsidRDefault="006B35EC" w:rsidP="006B35EC">
      <w:pPr>
        <w:pStyle w:val="EndNoteBibliography"/>
      </w:pPr>
    </w:p>
    <w:p w:rsidR="006B35EC" w:rsidRPr="006B35EC" w:rsidRDefault="006B35EC" w:rsidP="006B35EC">
      <w:pPr>
        <w:pStyle w:val="EndNoteBibliography"/>
      </w:pPr>
      <w:bookmarkStart w:id="31" w:name="_ENREF_21"/>
      <w:r w:rsidRPr="006B35EC">
        <w:t>Kimberley, S., Naughton, O., Johnston, P., Gill, L., and Waldren, S.: The influence of flood duration on the surface soil properties and grazing management of karst wetlands (turloughs) in Ireland, Hydrobiologia, 692, 29-40, 10.1007/s10750-012-1000-9, 2012.</w:t>
      </w:r>
    </w:p>
    <w:bookmarkEnd w:id="31"/>
    <w:p w:rsidR="006B35EC" w:rsidRPr="006B35EC" w:rsidRDefault="006B35EC" w:rsidP="006B35EC">
      <w:pPr>
        <w:pStyle w:val="EndNoteBibliography"/>
      </w:pPr>
    </w:p>
    <w:p w:rsidR="006B35EC" w:rsidRPr="006B35EC" w:rsidRDefault="006B35EC" w:rsidP="006B35EC">
      <w:pPr>
        <w:pStyle w:val="EndNoteBibliography"/>
      </w:pPr>
      <w:bookmarkStart w:id="32" w:name="_ENREF_22"/>
      <w:r w:rsidRPr="006B35EC">
        <w:t>Kimberley, S., and Waldren, S.: Examinations of turlough soil property spatial variation in a conservation assessment context, Biology &amp; Environment: Proceedings of the Royal Irish Academy, 112B, 1-13, 2012.</w:t>
      </w:r>
    </w:p>
    <w:bookmarkEnd w:id="32"/>
    <w:p w:rsidR="006B35EC" w:rsidRPr="006B35EC" w:rsidRDefault="006B35EC" w:rsidP="006B35EC">
      <w:pPr>
        <w:pStyle w:val="EndNoteBibliography"/>
      </w:pPr>
    </w:p>
    <w:p w:rsidR="006B35EC" w:rsidRPr="006B35EC" w:rsidRDefault="006B35EC" w:rsidP="006B35EC">
      <w:pPr>
        <w:pStyle w:val="EndNoteBibliography"/>
      </w:pPr>
      <w:bookmarkStart w:id="33" w:name="_ENREF_23"/>
      <w:r w:rsidRPr="006B35EC">
        <w:t>King, J. J., and Champ, W. S. T.: Baseline water quality investigations on Lough Carra, Western Ireland, with reference to water chemistry, phytoplankton and aquatic plants., Proceedings of the Royal Irish Academy - Biology and Environment, 100B, 13-25, 2000.</w:t>
      </w:r>
    </w:p>
    <w:bookmarkEnd w:id="33"/>
    <w:p w:rsidR="006B35EC" w:rsidRPr="006B35EC" w:rsidRDefault="006B35EC" w:rsidP="006B35EC">
      <w:pPr>
        <w:pStyle w:val="EndNoteBibliography"/>
      </w:pPr>
    </w:p>
    <w:p w:rsidR="006B35EC" w:rsidRPr="006B35EC" w:rsidRDefault="006B35EC" w:rsidP="006B35EC">
      <w:pPr>
        <w:pStyle w:val="EndNoteBibliography"/>
      </w:pPr>
      <w:bookmarkStart w:id="34" w:name="_ENREF_24"/>
      <w:r w:rsidRPr="006B35EC">
        <w:t xml:space="preserve">McCormack, T., Gill, L. W., Naughton, O., and Johnston, P. M.: Quantification of submarine/intertidal groundwater discharge and nutrient loading from a lowland karst catchment, Journal of Hydrology, 519, Part B, 2318-2330, </w:t>
      </w:r>
      <w:hyperlink r:id="rId12" w:history="1">
        <w:r w:rsidRPr="006B35EC">
          <w:rPr>
            <w:rStyle w:val="Hyperlink"/>
          </w:rPr>
          <w:t>http://dx.doi.org/10.1016/j.jhydrol.2014.09.086</w:t>
        </w:r>
      </w:hyperlink>
      <w:r w:rsidRPr="006B35EC">
        <w:t>, 2014.</w:t>
      </w:r>
    </w:p>
    <w:bookmarkEnd w:id="34"/>
    <w:p w:rsidR="006B35EC" w:rsidRPr="006B35EC" w:rsidRDefault="006B35EC" w:rsidP="006B35EC">
      <w:pPr>
        <w:pStyle w:val="EndNoteBibliography"/>
      </w:pPr>
    </w:p>
    <w:p w:rsidR="006B35EC" w:rsidRPr="006B35EC" w:rsidRDefault="006B35EC" w:rsidP="006B35EC">
      <w:pPr>
        <w:pStyle w:val="EndNoteBibliography"/>
      </w:pPr>
      <w:bookmarkStart w:id="35" w:name="_ENREF_25"/>
      <w:r w:rsidRPr="006B35EC">
        <w:t>Mellander, P., Jordan, P., Melland, A. R., Murphy, P. N. C., Wall, D. P., Mechan, S., Meehan, R., Kelly, C., Shine, O., and Shortle, G.: Quantification of Phosphorus Transport from a Karstic Agricultural Watershed to Emerging Spring Water, Environmental Science &amp; Technology, 47, 6111-6119, 10.1021/es304909y, 2013.</w:t>
      </w:r>
    </w:p>
    <w:bookmarkEnd w:id="35"/>
    <w:p w:rsidR="006B35EC" w:rsidRPr="006B35EC" w:rsidRDefault="006B35EC" w:rsidP="006B35EC">
      <w:pPr>
        <w:pStyle w:val="EndNoteBibliography"/>
      </w:pPr>
    </w:p>
    <w:p w:rsidR="006B35EC" w:rsidRPr="006B35EC" w:rsidRDefault="006B35EC" w:rsidP="006B35EC">
      <w:pPr>
        <w:pStyle w:val="EndNoteBibliography"/>
      </w:pPr>
      <w:bookmarkStart w:id="36" w:name="_ENREF_26"/>
      <w:r w:rsidRPr="006B35EC">
        <w:t>Naughton, O.: The Hydrology and Hydroecology of Turloughs, Department of Civil, Structural and Environmental Engineering, University of Dublin, Trinity College, Ireland., 2011.</w:t>
      </w:r>
    </w:p>
    <w:bookmarkEnd w:id="36"/>
    <w:p w:rsidR="006B35EC" w:rsidRPr="006B35EC" w:rsidRDefault="006B35EC" w:rsidP="006B35EC">
      <w:pPr>
        <w:pStyle w:val="EndNoteBibliography"/>
      </w:pPr>
    </w:p>
    <w:p w:rsidR="006B35EC" w:rsidRPr="006B35EC" w:rsidRDefault="006B35EC" w:rsidP="006B35EC">
      <w:pPr>
        <w:pStyle w:val="EndNoteBibliography"/>
      </w:pPr>
      <w:bookmarkStart w:id="37" w:name="_ENREF_27"/>
      <w:r w:rsidRPr="006B35EC">
        <w:t>Naughton, O., Johnston, P. M., and Gill, L. W.: Groundwater flooding in Irish karst: The hydrological characterisation of ephemeral lakes (turloughs), Journal of Hydrology, 470–471, 82-97, 10.1016/j.jhydrol.2012.08.012, 2012.</w:t>
      </w:r>
    </w:p>
    <w:bookmarkEnd w:id="37"/>
    <w:p w:rsidR="006B35EC" w:rsidRPr="006B35EC" w:rsidRDefault="006B35EC" w:rsidP="006B35EC">
      <w:pPr>
        <w:pStyle w:val="EndNoteBibliography"/>
      </w:pPr>
    </w:p>
    <w:p w:rsidR="006B35EC" w:rsidRPr="006B35EC" w:rsidRDefault="006B35EC" w:rsidP="006B35EC">
      <w:pPr>
        <w:pStyle w:val="EndNoteBibliography"/>
      </w:pPr>
      <w:bookmarkStart w:id="38" w:name="_ENREF_28"/>
      <w:r w:rsidRPr="006B35EC">
        <w:t>OECD: Eutrophication of waters. Organisation for Economic Co-operation and Development (OECD), Paris, France., in, 1982.</w:t>
      </w:r>
    </w:p>
    <w:bookmarkEnd w:id="38"/>
    <w:p w:rsidR="006B35EC" w:rsidRPr="006B35EC" w:rsidRDefault="006B35EC" w:rsidP="006B35EC">
      <w:pPr>
        <w:pStyle w:val="EndNoteBibliography"/>
      </w:pPr>
    </w:p>
    <w:p w:rsidR="006B35EC" w:rsidRPr="006B35EC" w:rsidRDefault="006B35EC" w:rsidP="006B35EC">
      <w:pPr>
        <w:pStyle w:val="EndNoteBibliography"/>
      </w:pPr>
      <w:bookmarkStart w:id="39" w:name="_ENREF_29"/>
      <w:r w:rsidRPr="006B35EC">
        <w:t xml:space="preserve">Petry, J., Soulsby, C., Malcolm, I. A., and Youngson, A. F.: Hydrological controls on nutrient concentrations and fluxes in agricultural catchments, Science of The Total Environment, 294, 95-110, </w:t>
      </w:r>
      <w:hyperlink r:id="rId13" w:history="1">
        <w:r w:rsidRPr="006B35EC">
          <w:rPr>
            <w:rStyle w:val="Hyperlink"/>
          </w:rPr>
          <w:t>http://dx.doi.org/10.1016/S0048-9697(02)00058-X</w:t>
        </w:r>
      </w:hyperlink>
      <w:r w:rsidRPr="006B35EC">
        <w:t>, 2002.</w:t>
      </w:r>
    </w:p>
    <w:bookmarkEnd w:id="39"/>
    <w:p w:rsidR="006B35EC" w:rsidRPr="006B35EC" w:rsidRDefault="006B35EC" w:rsidP="006B35EC">
      <w:pPr>
        <w:pStyle w:val="EndNoteBibliography"/>
      </w:pPr>
    </w:p>
    <w:p w:rsidR="006B35EC" w:rsidRPr="006B35EC" w:rsidRDefault="006B35EC" w:rsidP="006B35EC">
      <w:pPr>
        <w:pStyle w:val="EndNoteBibliography"/>
      </w:pPr>
      <w:bookmarkStart w:id="40" w:name="_ENREF_30"/>
      <w:r w:rsidRPr="006B35EC">
        <w:t>Pybus, C., Pybus, M. J., and Ragneborn-Tough, L.: Phytoplankton and Charophytes of Lough Bunny, Co. Clare, Biology and Environment: Proceedings of the Royal Irish Academy, 103B, 177-185, 10.2307/20500196, 2003.</w:t>
      </w:r>
    </w:p>
    <w:bookmarkEnd w:id="40"/>
    <w:p w:rsidR="006B35EC" w:rsidRPr="006B35EC" w:rsidRDefault="006B35EC" w:rsidP="006B35EC">
      <w:pPr>
        <w:pStyle w:val="EndNoteBibliography"/>
      </w:pPr>
    </w:p>
    <w:p w:rsidR="006B35EC" w:rsidRPr="006B35EC" w:rsidRDefault="006B35EC" w:rsidP="006B35EC">
      <w:pPr>
        <w:pStyle w:val="EndNoteBibliography"/>
      </w:pPr>
      <w:bookmarkStart w:id="41" w:name="_ENREF_31"/>
      <w:r w:rsidRPr="006B35EC">
        <w:t>Rao, N. S., and Prasad, P. R.: Phosphate pollution in the groundwater of lower Vamsadhara river basin, India, Environmental Geology, 31, 117-122, 10.1007/s002540050170, 1997.</w:t>
      </w:r>
    </w:p>
    <w:bookmarkEnd w:id="41"/>
    <w:p w:rsidR="006B35EC" w:rsidRPr="006B35EC" w:rsidRDefault="006B35EC" w:rsidP="006B35EC">
      <w:pPr>
        <w:pStyle w:val="EndNoteBibliography"/>
      </w:pPr>
    </w:p>
    <w:p w:rsidR="006B35EC" w:rsidRPr="006B35EC" w:rsidRDefault="006B35EC" w:rsidP="006B35EC">
      <w:pPr>
        <w:pStyle w:val="EndNoteBibliography"/>
      </w:pPr>
      <w:bookmarkStart w:id="42" w:name="_ENREF_32"/>
      <w:r w:rsidRPr="006B35EC">
        <w:t>Reddy, K. R., and DeLaune, W. H.: Biogeochemistry of Wetlands, Academic Press Ltd, 2008.</w:t>
      </w:r>
    </w:p>
    <w:bookmarkEnd w:id="42"/>
    <w:p w:rsidR="006B35EC" w:rsidRPr="006B35EC" w:rsidRDefault="006B35EC" w:rsidP="006B35EC">
      <w:pPr>
        <w:pStyle w:val="EndNoteBibliography"/>
      </w:pPr>
    </w:p>
    <w:p w:rsidR="006B35EC" w:rsidRPr="006B35EC" w:rsidRDefault="006B35EC" w:rsidP="006B35EC">
      <w:pPr>
        <w:pStyle w:val="EndNoteBibliography"/>
      </w:pPr>
      <w:bookmarkStart w:id="43" w:name="_ENREF_33"/>
      <w:r w:rsidRPr="006B35EC">
        <w:t xml:space="preserve">Reynolds, B., Emmett, B. A., and Woods, C.: Variations in streamwater nitrate concentrations and nitrogen budgets over 10 years in a headwater catchment in mid-Wales, Journal of Hydrology, 136, 155-175, </w:t>
      </w:r>
      <w:hyperlink r:id="rId14" w:history="1">
        <w:r w:rsidRPr="006B35EC">
          <w:rPr>
            <w:rStyle w:val="Hyperlink"/>
          </w:rPr>
          <w:t>http://dx.doi.org/10.1016/0022-1694(92)90009-K</w:t>
        </w:r>
      </w:hyperlink>
      <w:r w:rsidRPr="006B35EC">
        <w:t>, 1992.</w:t>
      </w:r>
    </w:p>
    <w:bookmarkEnd w:id="43"/>
    <w:p w:rsidR="006B35EC" w:rsidRPr="006B35EC" w:rsidRDefault="006B35EC" w:rsidP="006B35EC">
      <w:pPr>
        <w:pStyle w:val="EndNoteBibliography"/>
      </w:pPr>
    </w:p>
    <w:p w:rsidR="006B35EC" w:rsidRPr="006B35EC" w:rsidRDefault="006B35EC" w:rsidP="006B35EC">
      <w:pPr>
        <w:pStyle w:val="EndNoteBibliography"/>
      </w:pPr>
      <w:bookmarkStart w:id="44" w:name="_ENREF_34"/>
      <w:r w:rsidRPr="006B35EC">
        <w:t>Scheffer, M.: Ecology of Shallow Lakes., Chapman &amp; Hall, London, UK., 1998.</w:t>
      </w:r>
    </w:p>
    <w:bookmarkEnd w:id="44"/>
    <w:p w:rsidR="006B35EC" w:rsidRPr="006B35EC" w:rsidRDefault="006B35EC" w:rsidP="006B35EC">
      <w:pPr>
        <w:pStyle w:val="EndNoteBibliography"/>
      </w:pPr>
    </w:p>
    <w:p w:rsidR="006B35EC" w:rsidRPr="006B35EC" w:rsidRDefault="006B35EC" w:rsidP="006B35EC">
      <w:pPr>
        <w:pStyle w:val="EndNoteBibliography"/>
      </w:pPr>
      <w:bookmarkStart w:id="45" w:name="_ENREF_35"/>
      <w:r w:rsidRPr="006B35EC">
        <w:t>Shaw, E. M.: Hydrology in Practice (4</w:t>
      </w:r>
      <w:r w:rsidRPr="006B35EC">
        <w:rPr>
          <w:vertAlign w:val="superscript"/>
        </w:rPr>
        <w:t>th</w:t>
      </w:r>
      <w:r w:rsidRPr="006B35EC">
        <w:t xml:space="preserve"> edition), Chapman and Hall, London, 2011.</w:t>
      </w:r>
    </w:p>
    <w:bookmarkEnd w:id="45"/>
    <w:p w:rsidR="006B35EC" w:rsidRPr="006B35EC" w:rsidRDefault="006B35EC" w:rsidP="006B35EC">
      <w:pPr>
        <w:pStyle w:val="EndNoteBibliography"/>
      </w:pPr>
    </w:p>
    <w:p w:rsidR="006B35EC" w:rsidRPr="006B35EC" w:rsidRDefault="006B35EC" w:rsidP="006B35EC">
      <w:pPr>
        <w:pStyle w:val="EndNoteBibliography"/>
      </w:pPr>
      <w:bookmarkStart w:id="46" w:name="_ENREF_36"/>
      <w:r w:rsidRPr="006B35EC">
        <w:t>Sheehy Skeffington, M., Moran, J., O Connor, Á., Regan, E., Coxon, C. E., Scott, N. E., and Gormally, M.: Turloughs - Ireland's unique wetland habitat, Biological Conservation, 133, 265-290, 10.1016/j.biocon.2006.06.019, 2006.</w:t>
      </w:r>
    </w:p>
    <w:bookmarkEnd w:id="46"/>
    <w:p w:rsidR="006B35EC" w:rsidRPr="006B35EC" w:rsidRDefault="006B35EC" w:rsidP="006B35EC">
      <w:pPr>
        <w:pStyle w:val="EndNoteBibliography"/>
      </w:pPr>
    </w:p>
    <w:p w:rsidR="006B35EC" w:rsidRPr="006B35EC" w:rsidRDefault="006B35EC" w:rsidP="006B35EC">
      <w:pPr>
        <w:pStyle w:val="EndNoteBibliography"/>
      </w:pPr>
      <w:bookmarkStart w:id="47" w:name="_ENREF_37"/>
      <w:r w:rsidRPr="006B35EC">
        <w:t xml:space="preserve">Smith, A. M., and Cave, R. R.: Influence of fresh water, nutrients and DOC in two submarine-groundwater-fed estuaries on the west of Ireland, Science of The Total Environment, 438, 260-270, </w:t>
      </w:r>
      <w:hyperlink r:id="rId15" w:history="1">
        <w:r w:rsidRPr="006B35EC">
          <w:rPr>
            <w:rStyle w:val="Hyperlink"/>
          </w:rPr>
          <w:t>http://dx.doi.org/10.1016/j.scitotenv.2012.07.094</w:t>
        </w:r>
      </w:hyperlink>
      <w:r w:rsidRPr="006B35EC">
        <w:t>, 2012.</w:t>
      </w:r>
    </w:p>
    <w:bookmarkEnd w:id="47"/>
    <w:p w:rsidR="006B35EC" w:rsidRPr="006B35EC" w:rsidRDefault="006B35EC" w:rsidP="006B35EC">
      <w:pPr>
        <w:pStyle w:val="EndNoteBibliography"/>
      </w:pPr>
    </w:p>
    <w:p w:rsidR="006B35EC" w:rsidRPr="006B35EC" w:rsidRDefault="006B35EC" w:rsidP="006B35EC">
      <w:pPr>
        <w:pStyle w:val="EndNoteBibliography"/>
      </w:pPr>
      <w:bookmarkStart w:id="48" w:name="_ENREF_38"/>
      <w:r w:rsidRPr="006B35EC">
        <w:t>Southern Water Global: An investigation of the flooding problems in the Gort-Ardrahan area of South Galway.  Final Report, April 1998.  Produced by Southern Water Global and Jennings O`Donovan and Partners for the Office of Public Works, Dublin, 1998.</w:t>
      </w:r>
    </w:p>
    <w:bookmarkEnd w:id="48"/>
    <w:p w:rsidR="006B35EC" w:rsidRPr="006B35EC" w:rsidRDefault="006B35EC" w:rsidP="006B35EC">
      <w:pPr>
        <w:pStyle w:val="EndNoteBibliography"/>
      </w:pPr>
    </w:p>
    <w:p w:rsidR="006B35EC" w:rsidRPr="006B35EC" w:rsidRDefault="006B35EC" w:rsidP="006B35EC">
      <w:pPr>
        <w:pStyle w:val="EndNoteBibliography"/>
      </w:pPr>
      <w:bookmarkStart w:id="49" w:name="_ENREF_39"/>
      <w:r w:rsidRPr="006B35EC">
        <w:t xml:space="preserve">Nutrient requirements in forestry: </w:t>
      </w:r>
      <w:hyperlink r:id="rId16" w:history="1">
        <w:r w:rsidRPr="006B35EC">
          <w:rPr>
            <w:rStyle w:val="Hyperlink"/>
          </w:rPr>
          <w:t>http://www.teagasc.ie/forestry/advice/nutrient_requirements.asp</w:t>
        </w:r>
      </w:hyperlink>
      <w:r w:rsidRPr="006B35EC">
        <w:t>, access: 27th July, 2013.</w:t>
      </w:r>
    </w:p>
    <w:bookmarkEnd w:id="49"/>
    <w:p w:rsidR="006B35EC" w:rsidRPr="006B35EC" w:rsidRDefault="006B35EC" w:rsidP="006B35EC">
      <w:pPr>
        <w:pStyle w:val="EndNoteBibliography"/>
      </w:pPr>
    </w:p>
    <w:p w:rsidR="006B35EC" w:rsidRPr="006B35EC" w:rsidRDefault="006B35EC" w:rsidP="006B35EC">
      <w:pPr>
        <w:pStyle w:val="EndNoteBibliography"/>
      </w:pPr>
      <w:bookmarkStart w:id="50" w:name="_ENREF_40"/>
      <w:r w:rsidRPr="006B35EC">
        <w:lastRenderedPageBreak/>
        <w:t>von Wandruszka, R.: Phosphorus retention in calcareous soils and the effect of organic matter on its mobility, Geochem Trans, 7, 1-8, 10.1186/1467-4866-7-6, 2006.</w:t>
      </w:r>
    </w:p>
    <w:bookmarkEnd w:id="50"/>
    <w:p w:rsidR="006B35EC" w:rsidRPr="006B35EC" w:rsidRDefault="006B35EC" w:rsidP="006B35EC">
      <w:pPr>
        <w:pStyle w:val="EndNoteBibliography"/>
      </w:pPr>
    </w:p>
    <w:p w:rsidR="006B35EC" w:rsidRPr="006B35EC" w:rsidRDefault="006B35EC" w:rsidP="006B35EC">
      <w:pPr>
        <w:pStyle w:val="EndNoteBibliography"/>
      </w:pPr>
      <w:bookmarkStart w:id="51" w:name="_ENREF_41"/>
      <w:r w:rsidRPr="006B35EC">
        <w:t>Weiskel, P. K., and Howes, B. L.: Differential transport of sewage-derived nitrogen and phosphorus through a coastal watershed, Environmental Science &amp; Technology, 26, 352-360, 10.1021/es00026a017, 1992.</w:t>
      </w:r>
    </w:p>
    <w:bookmarkEnd w:id="51"/>
    <w:p w:rsidR="006B35EC" w:rsidRPr="006B35EC" w:rsidRDefault="006B35EC" w:rsidP="006B35EC">
      <w:pPr>
        <w:pStyle w:val="EndNoteBibliography"/>
      </w:pPr>
    </w:p>
    <w:p w:rsidR="006B35EC" w:rsidRPr="006B35EC" w:rsidRDefault="006B35EC" w:rsidP="006B35EC">
      <w:pPr>
        <w:pStyle w:val="EndNoteBibliography"/>
      </w:pPr>
      <w:bookmarkStart w:id="52" w:name="_ENREF_42"/>
      <w:r w:rsidRPr="006B35EC">
        <w:t>Wetzel, R. G.: Limnology: Lake and River Ecosystems, Academic Press, San Diego, CA, USA., 2001.</w:t>
      </w:r>
    </w:p>
    <w:bookmarkEnd w:id="52"/>
    <w:p w:rsidR="006B35EC" w:rsidRPr="006B35EC" w:rsidRDefault="006B35EC" w:rsidP="006B35EC">
      <w:pPr>
        <w:pStyle w:val="EndNoteBibliography"/>
      </w:pPr>
    </w:p>
    <w:p w:rsidR="006B35EC" w:rsidRPr="006B35EC" w:rsidRDefault="006B35EC" w:rsidP="006B35EC">
      <w:pPr>
        <w:pStyle w:val="EndNoteBibliography"/>
      </w:pPr>
      <w:bookmarkStart w:id="53" w:name="_ENREF_43"/>
      <w:r w:rsidRPr="006B35EC">
        <w:t xml:space="preserve">Zhang, W. L., Tian, Z. X., Zhang, N., and Li, X. Q.: Nitrate pollution of groundwater in northern China, Agriculture, Ecosystems &amp; Environment, 59, 223-231, </w:t>
      </w:r>
      <w:hyperlink r:id="rId17" w:history="1">
        <w:r w:rsidRPr="006B35EC">
          <w:rPr>
            <w:rStyle w:val="Hyperlink"/>
          </w:rPr>
          <w:t>http://dx.doi.org/10.1016/0167-8809(96)01052-3</w:t>
        </w:r>
      </w:hyperlink>
      <w:r w:rsidRPr="006B35EC">
        <w:t>, 1996.</w:t>
      </w:r>
    </w:p>
    <w:bookmarkEnd w:id="53"/>
    <w:p w:rsidR="006B35EC" w:rsidRPr="006B35EC" w:rsidRDefault="006B35EC" w:rsidP="006B35EC">
      <w:pPr>
        <w:pStyle w:val="EndNoteBibliography"/>
      </w:pPr>
    </w:p>
    <w:p w:rsidR="00551C2A" w:rsidRDefault="00EB7480" w:rsidP="00533549">
      <w:pPr>
        <w:rPr>
          <w:rFonts w:eastAsiaTheme="minorEastAsia"/>
          <w:lang w:val="en-IE"/>
        </w:rPr>
      </w:pPr>
      <w:r w:rsidRPr="00171520">
        <w:rPr>
          <w:rFonts w:eastAsiaTheme="minorEastAsia"/>
          <w:lang w:val="en-IE"/>
        </w:rPr>
        <w:fldChar w:fldCharType="end"/>
      </w:r>
    </w:p>
    <w:p w:rsidR="00551C2A" w:rsidRDefault="00551C2A">
      <w:pPr>
        <w:spacing w:line="240" w:lineRule="auto"/>
        <w:jc w:val="left"/>
        <w:rPr>
          <w:rFonts w:eastAsiaTheme="minorEastAsia"/>
          <w:lang w:val="en-IE"/>
        </w:rPr>
      </w:pPr>
      <w:r>
        <w:rPr>
          <w:rFonts w:eastAsiaTheme="minorEastAsia"/>
          <w:lang w:val="en-IE"/>
        </w:rPr>
        <w:br w:type="page"/>
      </w:r>
    </w:p>
    <w:p w:rsidR="00551C2A" w:rsidRPr="00E53767" w:rsidRDefault="00551C2A" w:rsidP="00551C2A">
      <w:pPr>
        <w:pStyle w:val="Caption"/>
        <w:keepNext/>
        <w:rPr>
          <w:lang w:val="en-IE"/>
        </w:rPr>
      </w:pPr>
      <w:bookmarkStart w:id="54" w:name="_Ref385523476"/>
      <w:r>
        <w:lastRenderedPageBreak/>
        <w:t xml:space="preserve">Table </w:t>
      </w:r>
      <w:r>
        <w:fldChar w:fldCharType="begin"/>
      </w:r>
      <w:r>
        <w:instrText xml:space="preserve"> SEQ Table \* ARABIC </w:instrText>
      </w:r>
      <w:r>
        <w:fldChar w:fldCharType="separate"/>
      </w:r>
      <w:r w:rsidR="00E40475">
        <w:rPr>
          <w:noProof/>
        </w:rPr>
        <w:t>1</w:t>
      </w:r>
      <w:r>
        <w:fldChar w:fldCharType="end"/>
      </w:r>
      <w:bookmarkEnd w:id="54"/>
      <w:r>
        <w:t>:</w:t>
      </w:r>
      <w:r w:rsidRPr="00E53767">
        <w:rPr>
          <w:noProof/>
          <w:lang w:val="en-IE"/>
        </w:rPr>
        <w:t xml:space="preserve"> </w:t>
      </w:r>
      <w:r w:rsidRPr="00627272">
        <w:rPr>
          <w:noProof/>
          <w:lang w:val="en-IE"/>
        </w:rPr>
        <w:t>Ranges and mean values for alkalinity</w:t>
      </w:r>
      <w:r w:rsidRPr="00E53767">
        <w:rPr>
          <w:lang w:val="en-IE"/>
        </w:rPr>
        <w:t xml:space="preserve"> </w:t>
      </w:r>
      <w:r w:rsidRPr="00627272">
        <w:rPr>
          <w:lang w:val="en-IE"/>
        </w:rPr>
        <w:t>Nitrate (NO</w:t>
      </w:r>
      <w:r w:rsidRPr="006E4204">
        <w:rPr>
          <w:vertAlign w:val="subscript"/>
          <w:lang w:val="en-IE"/>
        </w:rPr>
        <w:t>3</w:t>
      </w:r>
      <w:r w:rsidRPr="00627272">
        <w:rPr>
          <w:lang w:val="en-IE"/>
        </w:rPr>
        <w:t>), Total Nitrogen (TN), Total Phosphorus (TP) and Total Dissolved Phosphorus (TDP)</w:t>
      </w:r>
      <w:r w:rsidRPr="00627272">
        <w:rPr>
          <w:noProof/>
          <w:lang w:val="en-IE"/>
        </w:rPr>
        <w:t xml:space="preserve"> for turloughs, groundwater</w:t>
      </w:r>
      <w:r>
        <w:rPr>
          <w:noProof/>
          <w:lang w:val="en-IE"/>
        </w:rPr>
        <w:t>, selected rivers</w:t>
      </w:r>
      <w:r w:rsidRPr="00627272">
        <w:rPr>
          <w:noProof/>
          <w:lang w:val="en-IE"/>
        </w:rPr>
        <w:t xml:space="preserve"> and Kinvara (grouped and individual).</w:t>
      </w:r>
      <w:r>
        <w:rPr>
          <w:noProof/>
          <w:lang w:val="en-IE"/>
        </w:rPr>
        <w:t xml:space="preserve"> </w:t>
      </w:r>
    </w:p>
    <w:tbl>
      <w:tblPr>
        <w:tblStyle w:val="TableSimple3"/>
        <w:tblW w:w="10529" w:type="dxa"/>
        <w:jc w:val="center"/>
        <w:tblLayout w:type="fixed"/>
        <w:tblLook w:val="04A0" w:firstRow="1" w:lastRow="0" w:firstColumn="1" w:lastColumn="0" w:noHBand="0" w:noVBand="1"/>
      </w:tblPr>
      <w:tblGrid>
        <w:gridCol w:w="410"/>
        <w:gridCol w:w="1276"/>
        <w:gridCol w:w="851"/>
        <w:gridCol w:w="708"/>
        <w:gridCol w:w="993"/>
        <w:gridCol w:w="708"/>
        <w:gridCol w:w="850"/>
        <w:gridCol w:w="851"/>
        <w:gridCol w:w="1134"/>
        <w:gridCol w:w="709"/>
        <w:gridCol w:w="1203"/>
        <w:gridCol w:w="836"/>
      </w:tblGrid>
      <w:tr w:rsidR="00551C2A" w:rsidRPr="00627272" w:rsidTr="00A86CE0">
        <w:trPr>
          <w:cnfStyle w:val="100000000000" w:firstRow="1" w:lastRow="0" w:firstColumn="0" w:lastColumn="0" w:oddVBand="0" w:evenVBand="0" w:oddHBand="0" w:evenHBand="0" w:firstRowFirstColumn="0" w:firstRowLastColumn="0" w:lastRowFirstColumn="0" w:lastRowLastColumn="0"/>
          <w:trHeight w:val="300"/>
          <w:jc w:val="center"/>
        </w:trPr>
        <w:tc>
          <w:tcPr>
            <w:tcW w:w="410" w:type="dxa"/>
            <w:tcBorders>
              <w:top w:val="single" w:sz="12" w:space="0" w:color="000000"/>
              <w:bottom w:val="nil"/>
            </w:tcBorders>
            <w:noWrap/>
            <w:hideMark/>
          </w:tcPr>
          <w:p w:rsidR="00551C2A" w:rsidRPr="00627272" w:rsidRDefault="00551C2A" w:rsidP="00551C2A">
            <w:pPr>
              <w:spacing w:line="240" w:lineRule="auto"/>
              <w:jc w:val="left"/>
              <w:rPr>
                <w:color w:val="FFFFFF" w:themeColor="background1"/>
                <w:sz w:val="16"/>
                <w:szCs w:val="16"/>
                <w:lang w:val="en-IE"/>
              </w:rPr>
            </w:pPr>
          </w:p>
        </w:tc>
        <w:tc>
          <w:tcPr>
            <w:tcW w:w="1276" w:type="dxa"/>
            <w:tcBorders>
              <w:top w:val="single" w:sz="12" w:space="0" w:color="000000"/>
              <w:bottom w:val="nil"/>
              <w:right w:val="nil"/>
            </w:tcBorders>
            <w:noWrap/>
            <w:hideMark/>
          </w:tcPr>
          <w:p w:rsidR="00551C2A" w:rsidRPr="00627272" w:rsidRDefault="00551C2A" w:rsidP="00551C2A">
            <w:pPr>
              <w:spacing w:line="240" w:lineRule="auto"/>
              <w:jc w:val="left"/>
              <w:rPr>
                <w:color w:val="FFFFFF" w:themeColor="background1"/>
                <w:sz w:val="16"/>
                <w:szCs w:val="16"/>
                <w:lang w:val="en-IE"/>
              </w:rPr>
            </w:pPr>
          </w:p>
        </w:tc>
        <w:tc>
          <w:tcPr>
            <w:tcW w:w="1559" w:type="dxa"/>
            <w:gridSpan w:val="2"/>
            <w:tcBorders>
              <w:top w:val="single" w:sz="12" w:space="0" w:color="000000"/>
              <w:bottom w:val="nil"/>
              <w:right w:val="nil"/>
            </w:tcBorders>
          </w:tcPr>
          <w:p w:rsidR="00551C2A" w:rsidRDefault="00551C2A" w:rsidP="00551C2A">
            <w:pPr>
              <w:spacing w:line="240" w:lineRule="auto"/>
              <w:jc w:val="center"/>
              <w:rPr>
                <w:color w:val="FFFFFF" w:themeColor="background1"/>
                <w:sz w:val="18"/>
                <w:szCs w:val="16"/>
                <w:lang w:val="en-IE"/>
              </w:rPr>
            </w:pPr>
            <w:r w:rsidRPr="00627272">
              <w:rPr>
                <w:color w:val="FFFFFF" w:themeColor="background1"/>
                <w:sz w:val="18"/>
                <w:szCs w:val="16"/>
                <w:lang w:val="en-IE"/>
              </w:rPr>
              <w:t xml:space="preserve">Alkalinity </w:t>
            </w:r>
          </w:p>
          <w:p w:rsidR="00551C2A" w:rsidRPr="00627272" w:rsidRDefault="00551C2A" w:rsidP="00551C2A">
            <w:pPr>
              <w:spacing w:line="240" w:lineRule="auto"/>
              <w:jc w:val="center"/>
              <w:rPr>
                <w:color w:val="FFFFFF" w:themeColor="background1"/>
                <w:sz w:val="18"/>
                <w:szCs w:val="16"/>
                <w:lang w:val="en-IE"/>
              </w:rPr>
            </w:pPr>
            <w:r w:rsidRPr="00627272">
              <w:rPr>
                <w:color w:val="FFFFFF" w:themeColor="background1"/>
                <w:sz w:val="18"/>
                <w:szCs w:val="16"/>
                <w:lang w:val="en-IE"/>
              </w:rPr>
              <w:t>(mg/l CaCO</w:t>
            </w:r>
            <w:r w:rsidRPr="00627272">
              <w:rPr>
                <w:color w:val="FFFFFF" w:themeColor="background1"/>
                <w:sz w:val="18"/>
                <w:szCs w:val="16"/>
                <w:vertAlign w:val="subscript"/>
                <w:lang w:val="en-IE"/>
              </w:rPr>
              <w:t>3</w:t>
            </w:r>
            <w:r w:rsidRPr="00627272">
              <w:rPr>
                <w:color w:val="FFFFFF" w:themeColor="background1"/>
                <w:sz w:val="18"/>
                <w:szCs w:val="16"/>
                <w:lang w:val="en-IE"/>
              </w:rPr>
              <w:t>)</w:t>
            </w:r>
          </w:p>
        </w:tc>
        <w:tc>
          <w:tcPr>
            <w:tcW w:w="1701" w:type="dxa"/>
            <w:gridSpan w:val="2"/>
            <w:tcBorders>
              <w:top w:val="single" w:sz="12" w:space="0" w:color="000000"/>
              <w:left w:val="nil"/>
              <w:bottom w:val="nil"/>
            </w:tcBorders>
            <w:noWrap/>
          </w:tcPr>
          <w:p w:rsidR="00551C2A" w:rsidRPr="00627272" w:rsidRDefault="00551C2A" w:rsidP="00551C2A">
            <w:pPr>
              <w:spacing w:line="240" w:lineRule="auto"/>
              <w:jc w:val="center"/>
              <w:rPr>
                <w:color w:val="FFFFFF" w:themeColor="background1"/>
                <w:sz w:val="18"/>
                <w:szCs w:val="16"/>
                <w:lang w:val="en-IE"/>
              </w:rPr>
            </w:pPr>
            <w:r w:rsidRPr="00627272">
              <w:rPr>
                <w:color w:val="FFFFFF" w:themeColor="background1"/>
                <w:sz w:val="18"/>
                <w:szCs w:val="16"/>
                <w:lang w:val="en-IE"/>
              </w:rPr>
              <w:t>TN (mg/l)</w:t>
            </w:r>
          </w:p>
        </w:tc>
        <w:tc>
          <w:tcPr>
            <w:tcW w:w="1701" w:type="dxa"/>
            <w:gridSpan w:val="2"/>
            <w:tcBorders>
              <w:top w:val="single" w:sz="12" w:space="0" w:color="000000"/>
              <w:bottom w:val="nil"/>
            </w:tcBorders>
            <w:noWrap/>
          </w:tcPr>
          <w:p w:rsidR="00551C2A" w:rsidRPr="00627272" w:rsidRDefault="00551C2A" w:rsidP="00551C2A">
            <w:pPr>
              <w:spacing w:line="240" w:lineRule="auto"/>
              <w:jc w:val="center"/>
              <w:rPr>
                <w:color w:val="FFFFFF" w:themeColor="background1"/>
                <w:sz w:val="18"/>
                <w:szCs w:val="16"/>
                <w:lang w:val="en-IE"/>
              </w:rPr>
            </w:pPr>
            <w:r w:rsidRPr="00627272">
              <w:rPr>
                <w:color w:val="FFFFFF" w:themeColor="background1"/>
                <w:sz w:val="18"/>
                <w:szCs w:val="16"/>
                <w:lang w:val="en-IE"/>
              </w:rPr>
              <w:t>NO</w:t>
            </w:r>
            <w:r w:rsidRPr="00627272">
              <w:rPr>
                <w:color w:val="FFFFFF" w:themeColor="background1"/>
                <w:sz w:val="18"/>
                <w:szCs w:val="16"/>
                <w:vertAlign w:val="subscript"/>
                <w:lang w:val="en-IE"/>
              </w:rPr>
              <w:t>3</w:t>
            </w:r>
            <w:r w:rsidRPr="00627272">
              <w:rPr>
                <w:color w:val="FFFFFF" w:themeColor="background1"/>
                <w:sz w:val="18"/>
                <w:szCs w:val="16"/>
                <w:lang w:val="en-IE"/>
              </w:rPr>
              <w:t xml:space="preserve"> (mg/l</w:t>
            </w:r>
            <w:r w:rsidR="00A86CE0">
              <w:rPr>
                <w:color w:val="FFFFFF" w:themeColor="background1"/>
                <w:sz w:val="18"/>
                <w:szCs w:val="16"/>
                <w:lang w:val="en-IE"/>
              </w:rPr>
              <w:t xml:space="preserve"> NO3-N</w:t>
            </w:r>
            <w:r w:rsidRPr="00627272">
              <w:rPr>
                <w:color w:val="FFFFFF" w:themeColor="background1"/>
                <w:sz w:val="18"/>
                <w:szCs w:val="16"/>
                <w:lang w:val="en-IE"/>
              </w:rPr>
              <w:t>)</w:t>
            </w:r>
          </w:p>
        </w:tc>
        <w:tc>
          <w:tcPr>
            <w:tcW w:w="1843" w:type="dxa"/>
            <w:gridSpan w:val="2"/>
            <w:tcBorders>
              <w:top w:val="single" w:sz="12" w:space="0" w:color="000000"/>
              <w:bottom w:val="nil"/>
            </w:tcBorders>
            <w:noWrap/>
          </w:tcPr>
          <w:p w:rsidR="00551C2A" w:rsidRPr="00627272" w:rsidRDefault="00551C2A" w:rsidP="007970F1">
            <w:pPr>
              <w:spacing w:line="240" w:lineRule="auto"/>
              <w:jc w:val="center"/>
              <w:rPr>
                <w:color w:val="FFFFFF" w:themeColor="background1"/>
                <w:sz w:val="18"/>
                <w:szCs w:val="16"/>
                <w:lang w:val="en-IE"/>
              </w:rPr>
            </w:pPr>
            <w:r w:rsidRPr="00627272">
              <w:rPr>
                <w:color w:val="FFFFFF" w:themeColor="background1"/>
                <w:sz w:val="18"/>
                <w:szCs w:val="16"/>
                <w:lang w:val="en-IE"/>
              </w:rPr>
              <w:t>TP (</w:t>
            </w:r>
            <w:r w:rsidR="007970F1">
              <w:rPr>
                <w:color w:val="FFFFFF" w:themeColor="background1"/>
                <w:sz w:val="18"/>
                <w:szCs w:val="16"/>
                <w:lang w:val="en-IE"/>
              </w:rPr>
              <w:t>m</w:t>
            </w:r>
            <w:r w:rsidRPr="00627272">
              <w:rPr>
                <w:color w:val="FFFFFF" w:themeColor="background1"/>
                <w:sz w:val="18"/>
                <w:szCs w:val="16"/>
                <w:lang w:val="en-IE"/>
              </w:rPr>
              <w:t>g/l)</w:t>
            </w:r>
          </w:p>
        </w:tc>
        <w:tc>
          <w:tcPr>
            <w:tcW w:w="2039" w:type="dxa"/>
            <w:gridSpan w:val="2"/>
            <w:tcBorders>
              <w:top w:val="single" w:sz="12" w:space="0" w:color="000000"/>
              <w:bottom w:val="nil"/>
              <w:right w:val="single" w:sz="12" w:space="0" w:color="000000"/>
            </w:tcBorders>
          </w:tcPr>
          <w:p w:rsidR="00551C2A" w:rsidRPr="00627272" w:rsidRDefault="00551C2A" w:rsidP="007970F1">
            <w:pPr>
              <w:spacing w:line="240" w:lineRule="auto"/>
              <w:jc w:val="center"/>
              <w:rPr>
                <w:color w:val="FFFFFF" w:themeColor="background1"/>
                <w:sz w:val="18"/>
                <w:szCs w:val="16"/>
                <w:lang w:val="en-IE"/>
              </w:rPr>
            </w:pPr>
            <w:r w:rsidRPr="00627272">
              <w:rPr>
                <w:color w:val="FFFFFF" w:themeColor="background1"/>
                <w:sz w:val="18"/>
                <w:szCs w:val="16"/>
                <w:lang w:val="en-IE"/>
              </w:rPr>
              <w:t>TDP (</w:t>
            </w:r>
            <w:r w:rsidR="007970F1">
              <w:rPr>
                <w:color w:val="FFFFFF" w:themeColor="background1"/>
                <w:sz w:val="18"/>
                <w:szCs w:val="16"/>
                <w:lang w:val="en-IE"/>
              </w:rPr>
              <w:t>m</w:t>
            </w:r>
            <w:r w:rsidRPr="00627272">
              <w:rPr>
                <w:color w:val="FFFFFF" w:themeColor="background1"/>
                <w:sz w:val="18"/>
                <w:szCs w:val="16"/>
                <w:lang w:val="en-IE"/>
              </w:rPr>
              <w:t>g/l)</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i/>
                <w:color w:val="000000"/>
                <w:sz w:val="16"/>
                <w:szCs w:val="16"/>
                <w:lang w:val="en-IE"/>
              </w:rPr>
            </w:pPr>
          </w:p>
        </w:tc>
        <w:tc>
          <w:tcPr>
            <w:tcW w:w="851" w:type="dxa"/>
            <w:tcBorders>
              <w:top w:val="nil"/>
              <w:bottom w:val="nil"/>
              <w:right w:val="nil"/>
            </w:tcBorders>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range</w:t>
            </w:r>
          </w:p>
        </w:tc>
        <w:tc>
          <w:tcPr>
            <w:tcW w:w="708" w:type="dxa"/>
            <w:tcBorders>
              <w:top w:val="nil"/>
              <w:left w:val="nil"/>
              <w:bottom w:val="nil"/>
              <w:right w:val="single" w:sz="4" w:space="0" w:color="A6A6A6" w:themeColor="background1" w:themeShade="A6"/>
            </w:tcBorders>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mean</w:t>
            </w:r>
          </w:p>
        </w:tc>
        <w:tc>
          <w:tcPr>
            <w:tcW w:w="993"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range</w:t>
            </w:r>
          </w:p>
        </w:tc>
        <w:tc>
          <w:tcPr>
            <w:tcW w:w="708"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mean</w:t>
            </w:r>
          </w:p>
        </w:tc>
        <w:tc>
          <w:tcPr>
            <w:tcW w:w="850"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range</w:t>
            </w:r>
          </w:p>
        </w:tc>
        <w:tc>
          <w:tcPr>
            <w:tcW w:w="851"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mean</w:t>
            </w:r>
          </w:p>
        </w:tc>
        <w:tc>
          <w:tcPr>
            <w:tcW w:w="1134"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range</w:t>
            </w:r>
          </w:p>
        </w:tc>
        <w:tc>
          <w:tcPr>
            <w:tcW w:w="709"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mean</w:t>
            </w:r>
          </w:p>
        </w:tc>
        <w:tc>
          <w:tcPr>
            <w:tcW w:w="1203" w:type="dxa"/>
            <w:tcBorders>
              <w:top w:val="nil"/>
              <w:left w:val="single" w:sz="4" w:space="0" w:color="A6A6A6" w:themeColor="background1" w:themeShade="A6"/>
              <w:bottom w:val="nil"/>
            </w:tcBorders>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range</w:t>
            </w:r>
          </w:p>
        </w:tc>
        <w:tc>
          <w:tcPr>
            <w:tcW w:w="836" w:type="dxa"/>
            <w:tcBorders>
              <w:top w:val="nil"/>
              <w:bottom w:val="nil"/>
              <w:right w:val="single" w:sz="12" w:space="0" w:color="000000"/>
            </w:tcBorders>
          </w:tcPr>
          <w:p w:rsidR="00551C2A" w:rsidRPr="00627272" w:rsidRDefault="00551C2A" w:rsidP="00551C2A">
            <w:pPr>
              <w:spacing w:line="240" w:lineRule="auto"/>
              <w:jc w:val="center"/>
              <w:rPr>
                <w:i/>
                <w:color w:val="000000"/>
                <w:sz w:val="18"/>
                <w:szCs w:val="16"/>
                <w:lang w:val="en-IE"/>
              </w:rPr>
            </w:pPr>
            <w:r w:rsidRPr="00627272">
              <w:rPr>
                <w:i/>
                <w:color w:val="000000"/>
                <w:sz w:val="18"/>
                <w:szCs w:val="16"/>
                <w:lang w:val="en-IE"/>
              </w:rPr>
              <w:t>mean</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p>
        </w:tc>
        <w:tc>
          <w:tcPr>
            <w:tcW w:w="851" w:type="dxa"/>
            <w:tcBorders>
              <w:top w:val="nil"/>
              <w:bottom w:val="nil"/>
              <w:right w:val="nil"/>
            </w:tcBorders>
          </w:tcPr>
          <w:p w:rsidR="00551C2A" w:rsidRPr="00627272" w:rsidRDefault="00551C2A" w:rsidP="00551C2A">
            <w:pPr>
              <w:spacing w:line="240" w:lineRule="auto"/>
              <w:jc w:val="center"/>
              <w:rPr>
                <w:color w:val="000000"/>
                <w:sz w:val="16"/>
                <w:szCs w:val="16"/>
                <w:lang w:val="en-IE"/>
              </w:rPr>
            </w:pPr>
          </w:p>
        </w:tc>
        <w:tc>
          <w:tcPr>
            <w:tcW w:w="708" w:type="dxa"/>
            <w:tcBorders>
              <w:top w:val="nil"/>
              <w:left w:val="nil"/>
              <w:bottom w:val="nil"/>
              <w:right w:val="single" w:sz="4" w:space="0" w:color="A6A6A6" w:themeColor="background1" w:themeShade="A6"/>
            </w:tcBorders>
          </w:tcPr>
          <w:p w:rsidR="00551C2A" w:rsidRPr="00627272" w:rsidRDefault="00551C2A" w:rsidP="00551C2A">
            <w:pPr>
              <w:spacing w:line="240" w:lineRule="auto"/>
              <w:jc w:val="center"/>
              <w:rPr>
                <w:color w:val="000000"/>
                <w:sz w:val="16"/>
                <w:szCs w:val="16"/>
                <w:lang w:val="en-IE"/>
              </w:rPr>
            </w:pPr>
          </w:p>
        </w:tc>
        <w:tc>
          <w:tcPr>
            <w:tcW w:w="993"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color w:val="000000"/>
                <w:sz w:val="16"/>
                <w:szCs w:val="16"/>
                <w:lang w:val="en-IE"/>
              </w:rPr>
            </w:pPr>
          </w:p>
        </w:tc>
        <w:tc>
          <w:tcPr>
            <w:tcW w:w="708"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color w:val="000000"/>
                <w:sz w:val="16"/>
                <w:szCs w:val="16"/>
                <w:lang w:val="en-IE"/>
              </w:rPr>
            </w:pPr>
          </w:p>
        </w:tc>
        <w:tc>
          <w:tcPr>
            <w:tcW w:w="850"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color w:val="000000"/>
                <w:sz w:val="16"/>
                <w:szCs w:val="16"/>
                <w:lang w:val="en-IE"/>
              </w:rPr>
            </w:pPr>
          </w:p>
        </w:tc>
        <w:tc>
          <w:tcPr>
            <w:tcW w:w="851"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color w:val="000000"/>
                <w:sz w:val="16"/>
                <w:szCs w:val="16"/>
                <w:lang w:val="en-IE"/>
              </w:rPr>
            </w:pPr>
          </w:p>
        </w:tc>
        <w:tc>
          <w:tcPr>
            <w:tcW w:w="1134" w:type="dxa"/>
            <w:tcBorders>
              <w:top w:val="nil"/>
              <w:left w:val="single" w:sz="4" w:space="0" w:color="A6A6A6" w:themeColor="background1" w:themeShade="A6"/>
              <w:bottom w:val="nil"/>
            </w:tcBorders>
            <w:noWrap/>
            <w:hideMark/>
          </w:tcPr>
          <w:p w:rsidR="00551C2A" w:rsidRPr="00627272" w:rsidRDefault="00551C2A" w:rsidP="00551C2A">
            <w:pPr>
              <w:spacing w:line="240" w:lineRule="auto"/>
              <w:jc w:val="center"/>
              <w:rPr>
                <w:color w:val="000000"/>
                <w:sz w:val="16"/>
                <w:szCs w:val="16"/>
                <w:lang w:val="en-IE"/>
              </w:rPr>
            </w:pPr>
          </w:p>
        </w:tc>
        <w:tc>
          <w:tcPr>
            <w:tcW w:w="709"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center"/>
              <w:rPr>
                <w:color w:val="000000"/>
                <w:sz w:val="16"/>
                <w:szCs w:val="16"/>
                <w:lang w:val="en-IE"/>
              </w:rPr>
            </w:pPr>
          </w:p>
        </w:tc>
        <w:tc>
          <w:tcPr>
            <w:tcW w:w="1203" w:type="dxa"/>
            <w:tcBorders>
              <w:top w:val="nil"/>
              <w:left w:val="single" w:sz="4" w:space="0" w:color="A6A6A6" w:themeColor="background1" w:themeShade="A6"/>
              <w:bottom w:val="nil"/>
            </w:tcBorders>
          </w:tcPr>
          <w:p w:rsidR="00551C2A" w:rsidRPr="00627272" w:rsidRDefault="00551C2A" w:rsidP="00551C2A">
            <w:pPr>
              <w:spacing w:line="240" w:lineRule="auto"/>
              <w:jc w:val="center"/>
              <w:rPr>
                <w:color w:val="000000"/>
                <w:sz w:val="16"/>
                <w:szCs w:val="16"/>
                <w:lang w:val="en-IE"/>
              </w:rPr>
            </w:pPr>
          </w:p>
        </w:tc>
        <w:tc>
          <w:tcPr>
            <w:tcW w:w="836" w:type="dxa"/>
            <w:tcBorders>
              <w:top w:val="nil"/>
              <w:bottom w:val="nil"/>
              <w:right w:val="single" w:sz="12" w:space="0" w:color="000000"/>
            </w:tcBorders>
          </w:tcPr>
          <w:p w:rsidR="00551C2A" w:rsidRPr="00627272" w:rsidRDefault="00551C2A" w:rsidP="00551C2A">
            <w:pPr>
              <w:spacing w:line="240" w:lineRule="auto"/>
              <w:jc w:val="center"/>
              <w:rPr>
                <w:color w:val="000000"/>
                <w:sz w:val="16"/>
                <w:szCs w:val="16"/>
                <w:lang w:val="en-IE"/>
              </w:rPr>
            </w:pPr>
          </w:p>
        </w:tc>
      </w:tr>
      <w:tr w:rsidR="00551C2A" w:rsidRPr="00627272" w:rsidTr="00A86CE0">
        <w:trPr>
          <w:trHeight w:val="300"/>
          <w:jc w:val="center"/>
        </w:trPr>
        <w:tc>
          <w:tcPr>
            <w:tcW w:w="1686" w:type="dxa"/>
            <w:gridSpan w:val="2"/>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b/>
                <w:color w:val="000000"/>
                <w:sz w:val="16"/>
                <w:szCs w:val="16"/>
                <w:lang w:val="en-IE"/>
              </w:rPr>
            </w:pPr>
            <w:r w:rsidRPr="00627272">
              <w:rPr>
                <w:b/>
                <w:color w:val="000000"/>
                <w:sz w:val="16"/>
                <w:szCs w:val="16"/>
                <w:lang w:val="en-IE"/>
              </w:rPr>
              <w:t>Rivers</w:t>
            </w:r>
          </w:p>
        </w:tc>
        <w:tc>
          <w:tcPr>
            <w:tcW w:w="851" w:type="dxa"/>
            <w:tcBorders>
              <w:top w:val="nil"/>
              <w:bottom w:val="nil"/>
              <w:right w:val="nil"/>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1-246</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48.5</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0-3.9</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1.01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0-3.1</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0.71</w:t>
            </w:r>
          </w:p>
        </w:tc>
        <w:tc>
          <w:tcPr>
            <w:tcW w:w="1134" w:type="dxa"/>
            <w:tcBorders>
              <w:top w:val="nil"/>
              <w:left w:val="single" w:sz="4" w:space="0" w:color="A6A6A6" w:themeColor="background1" w:themeShade="A6"/>
              <w:bottom w:val="nil"/>
            </w:tcBorders>
            <w:noWrap/>
            <w:vAlign w:val="bottom"/>
            <w:hideMark/>
          </w:tcPr>
          <w:p w:rsidR="00551C2A" w:rsidRPr="00627272" w:rsidRDefault="007970F1" w:rsidP="007970F1">
            <w:pPr>
              <w:jc w:val="center"/>
              <w:rPr>
                <w:b/>
                <w:color w:val="000000"/>
                <w:sz w:val="16"/>
                <w:szCs w:val="16"/>
                <w:lang w:val="en-IE"/>
              </w:rPr>
            </w:pPr>
            <w:r>
              <w:rPr>
                <w:b/>
                <w:color w:val="000000"/>
                <w:sz w:val="16"/>
                <w:szCs w:val="16"/>
                <w:lang w:val="en-IE"/>
              </w:rPr>
              <w:t>0.0037</w:t>
            </w:r>
            <w:r w:rsidR="00551C2A" w:rsidRPr="00627272">
              <w:rPr>
                <w:b/>
                <w:color w:val="000000"/>
                <w:sz w:val="16"/>
                <w:szCs w:val="16"/>
                <w:lang w:val="en-IE"/>
              </w:rPr>
              <w:t>-</w:t>
            </w:r>
            <w:r>
              <w:rPr>
                <w:b/>
                <w:color w:val="000000"/>
                <w:sz w:val="16"/>
                <w:szCs w:val="16"/>
                <w:lang w:val="en-IE"/>
              </w:rPr>
              <w:t>0.</w:t>
            </w:r>
            <w:r w:rsidR="00551C2A" w:rsidRPr="00627272">
              <w:rPr>
                <w:b/>
                <w:color w:val="000000"/>
                <w:sz w:val="16"/>
                <w:szCs w:val="16"/>
                <w:lang w:val="en-IE"/>
              </w:rPr>
              <w:t>12</w:t>
            </w:r>
            <w:r>
              <w:rPr>
                <w:b/>
                <w:color w:val="000000"/>
                <w:sz w:val="16"/>
                <w:szCs w:val="16"/>
                <w:lang w:val="en-IE"/>
              </w:rPr>
              <w:t>1</w:t>
            </w:r>
          </w:p>
        </w:tc>
        <w:tc>
          <w:tcPr>
            <w:tcW w:w="709" w:type="dxa"/>
            <w:tcBorders>
              <w:top w:val="nil"/>
              <w:bottom w:val="nil"/>
              <w:right w:val="single" w:sz="4" w:space="0" w:color="A6A6A6" w:themeColor="background1" w:themeShade="A6"/>
            </w:tcBorders>
            <w:noWrap/>
            <w:vAlign w:val="bottom"/>
            <w:hideMark/>
          </w:tcPr>
          <w:p w:rsidR="00551C2A" w:rsidRPr="00627272" w:rsidRDefault="007970F1" w:rsidP="007970F1">
            <w:pPr>
              <w:jc w:val="center"/>
              <w:rPr>
                <w:b/>
                <w:color w:val="000000"/>
                <w:sz w:val="16"/>
                <w:szCs w:val="16"/>
                <w:lang w:val="en-IE"/>
              </w:rPr>
            </w:pPr>
            <w:r>
              <w:rPr>
                <w:b/>
                <w:color w:val="000000"/>
                <w:sz w:val="16"/>
                <w:szCs w:val="16"/>
                <w:lang w:val="en-IE"/>
              </w:rPr>
              <w:t>0.0</w:t>
            </w:r>
            <w:r w:rsidR="00551C2A" w:rsidRPr="00627272">
              <w:rPr>
                <w:b/>
                <w:color w:val="000000"/>
                <w:sz w:val="16"/>
                <w:szCs w:val="16"/>
                <w:lang w:val="en-IE"/>
              </w:rPr>
              <w:t>26</w:t>
            </w:r>
          </w:p>
        </w:tc>
        <w:tc>
          <w:tcPr>
            <w:tcW w:w="1203" w:type="dxa"/>
            <w:tcBorders>
              <w:top w:val="nil"/>
              <w:left w:val="single" w:sz="4" w:space="0" w:color="A6A6A6" w:themeColor="background1" w:themeShade="A6"/>
              <w:bottom w:val="nil"/>
            </w:tcBorders>
            <w:vAlign w:val="bottom"/>
          </w:tcPr>
          <w:p w:rsidR="00551C2A" w:rsidRPr="00627272" w:rsidRDefault="00551C2A" w:rsidP="00657FE8">
            <w:pPr>
              <w:jc w:val="center"/>
              <w:rPr>
                <w:b/>
                <w:color w:val="000000"/>
                <w:sz w:val="16"/>
                <w:szCs w:val="16"/>
                <w:lang w:val="en-IE"/>
              </w:rPr>
            </w:pPr>
            <w:r w:rsidRPr="00627272">
              <w:rPr>
                <w:b/>
                <w:color w:val="000000"/>
                <w:sz w:val="16"/>
                <w:szCs w:val="16"/>
                <w:lang w:val="en-IE"/>
              </w:rPr>
              <w:t>0-</w:t>
            </w:r>
            <w:r w:rsidR="00657FE8">
              <w:rPr>
                <w:b/>
                <w:color w:val="000000"/>
                <w:sz w:val="16"/>
                <w:szCs w:val="16"/>
                <w:lang w:val="en-IE"/>
              </w:rPr>
              <w:t>0.0</w:t>
            </w:r>
            <w:r w:rsidRPr="00627272">
              <w:rPr>
                <w:b/>
                <w:color w:val="000000"/>
                <w:sz w:val="16"/>
                <w:szCs w:val="16"/>
                <w:lang w:val="en-IE"/>
              </w:rPr>
              <w:t>6</w:t>
            </w:r>
            <w:r w:rsidR="00657FE8">
              <w:rPr>
                <w:b/>
                <w:color w:val="000000"/>
                <w:sz w:val="16"/>
                <w:szCs w:val="16"/>
                <w:lang w:val="en-IE"/>
              </w:rPr>
              <w:t>6</w:t>
            </w:r>
          </w:p>
        </w:tc>
        <w:tc>
          <w:tcPr>
            <w:tcW w:w="836" w:type="dxa"/>
            <w:tcBorders>
              <w:top w:val="nil"/>
              <w:bottom w:val="nil"/>
              <w:right w:val="single" w:sz="12" w:space="0" w:color="000000"/>
            </w:tcBorders>
            <w:vAlign w:val="bottom"/>
          </w:tcPr>
          <w:p w:rsidR="00551C2A" w:rsidRPr="00627272" w:rsidRDefault="00657FE8" w:rsidP="00657FE8">
            <w:pPr>
              <w:jc w:val="center"/>
              <w:rPr>
                <w:b/>
                <w:color w:val="000000"/>
                <w:sz w:val="16"/>
                <w:szCs w:val="16"/>
                <w:lang w:val="en-IE"/>
              </w:rPr>
            </w:pPr>
            <w:r>
              <w:rPr>
                <w:b/>
                <w:color w:val="000000"/>
                <w:sz w:val="16"/>
                <w:szCs w:val="16"/>
                <w:lang w:val="en-IE"/>
              </w:rPr>
              <w:t>0.0</w:t>
            </w:r>
            <w:r w:rsidR="00551C2A" w:rsidRPr="00627272">
              <w:rPr>
                <w:b/>
                <w:color w:val="000000"/>
                <w:sz w:val="16"/>
                <w:szCs w:val="16"/>
                <w:lang w:val="en-IE"/>
              </w:rPr>
              <w:t>18</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0162C7" w:rsidP="00551C2A">
            <w:pPr>
              <w:spacing w:line="240" w:lineRule="auto"/>
              <w:jc w:val="left"/>
              <w:rPr>
                <w:color w:val="000000"/>
                <w:sz w:val="16"/>
                <w:szCs w:val="16"/>
                <w:lang w:val="en-IE"/>
              </w:rPr>
            </w:pPr>
            <w:r>
              <w:rPr>
                <w:color w:val="000000"/>
                <w:sz w:val="16"/>
                <w:szCs w:val="16"/>
                <w:lang w:val="en-IE"/>
              </w:rPr>
              <w:t>SA1</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15-246</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148.1</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0.2-3.4</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1.03</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0.1-1.5</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0.55</w:t>
            </w:r>
          </w:p>
        </w:tc>
        <w:tc>
          <w:tcPr>
            <w:tcW w:w="1134" w:type="dxa"/>
            <w:tcBorders>
              <w:top w:val="nil"/>
              <w:left w:val="single" w:sz="4" w:space="0" w:color="A6A6A6" w:themeColor="background1" w:themeShade="A6"/>
              <w:bottom w:val="nil"/>
            </w:tcBorders>
            <w:noWrap/>
            <w:vAlign w:val="bottom"/>
          </w:tcPr>
          <w:p w:rsidR="00551C2A" w:rsidRPr="00627272" w:rsidRDefault="007970F1" w:rsidP="007970F1">
            <w:pPr>
              <w:jc w:val="center"/>
              <w:rPr>
                <w:color w:val="000000"/>
                <w:sz w:val="16"/>
                <w:szCs w:val="16"/>
                <w:lang w:val="en-IE"/>
              </w:rPr>
            </w:pPr>
            <w:r>
              <w:rPr>
                <w:color w:val="000000"/>
                <w:sz w:val="16"/>
                <w:szCs w:val="16"/>
                <w:lang w:val="en-IE"/>
              </w:rPr>
              <w:t>0.014</w:t>
            </w:r>
            <w:r w:rsidR="00551C2A" w:rsidRPr="00627272">
              <w:rPr>
                <w:color w:val="000000"/>
                <w:sz w:val="16"/>
                <w:szCs w:val="16"/>
                <w:lang w:val="en-IE"/>
              </w:rPr>
              <w:t>-</w:t>
            </w:r>
            <w:r>
              <w:rPr>
                <w:color w:val="000000"/>
                <w:sz w:val="16"/>
                <w:szCs w:val="16"/>
                <w:lang w:val="en-IE"/>
              </w:rPr>
              <w:t>0.</w:t>
            </w:r>
            <w:r w:rsidR="00551C2A" w:rsidRPr="00627272">
              <w:rPr>
                <w:color w:val="000000"/>
                <w:sz w:val="16"/>
                <w:szCs w:val="16"/>
                <w:lang w:val="en-IE"/>
              </w:rPr>
              <w:t>113</w:t>
            </w:r>
          </w:p>
        </w:tc>
        <w:tc>
          <w:tcPr>
            <w:tcW w:w="709" w:type="dxa"/>
            <w:tcBorders>
              <w:top w:val="nil"/>
              <w:bottom w:val="nil"/>
              <w:right w:val="single" w:sz="4" w:space="0" w:color="A6A6A6" w:themeColor="background1" w:themeShade="A6"/>
            </w:tcBorders>
            <w:noWrap/>
            <w:vAlign w:val="bottom"/>
          </w:tcPr>
          <w:p w:rsidR="00551C2A" w:rsidRPr="00627272" w:rsidRDefault="007970F1" w:rsidP="007970F1">
            <w:pPr>
              <w:jc w:val="center"/>
              <w:rPr>
                <w:color w:val="000000"/>
                <w:sz w:val="16"/>
                <w:szCs w:val="16"/>
                <w:lang w:val="en-IE"/>
              </w:rPr>
            </w:pPr>
            <w:r>
              <w:rPr>
                <w:color w:val="000000"/>
                <w:sz w:val="16"/>
                <w:szCs w:val="16"/>
                <w:lang w:val="en-IE"/>
              </w:rPr>
              <w:t>0.0</w:t>
            </w:r>
            <w:r w:rsidR="00551C2A" w:rsidRPr="00627272">
              <w:rPr>
                <w:color w:val="000000"/>
                <w:sz w:val="16"/>
                <w:szCs w:val="16"/>
                <w:lang w:val="en-IE"/>
              </w:rPr>
              <w:t>27</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0.006</w:t>
            </w:r>
            <w:r w:rsidR="00551C2A" w:rsidRPr="00627272">
              <w:rPr>
                <w:color w:val="000000"/>
                <w:sz w:val="16"/>
                <w:szCs w:val="16"/>
                <w:lang w:val="en-IE"/>
              </w:rPr>
              <w:t>-</w:t>
            </w:r>
            <w:r>
              <w:rPr>
                <w:color w:val="000000"/>
                <w:sz w:val="16"/>
                <w:szCs w:val="16"/>
                <w:lang w:val="en-IE"/>
              </w:rPr>
              <w:t>0.044</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0.016</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0162C7" w:rsidP="00551C2A">
            <w:pPr>
              <w:spacing w:line="240" w:lineRule="auto"/>
              <w:jc w:val="left"/>
              <w:rPr>
                <w:color w:val="000000"/>
                <w:sz w:val="16"/>
                <w:szCs w:val="16"/>
                <w:lang w:val="en-IE"/>
              </w:rPr>
            </w:pPr>
            <w:r>
              <w:rPr>
                <w:color w:val="000000"/>
                <w:sz w:val="16"/>
                <w:szCs w:val="16"/>
                <w:lang w:val="en-IE"/>
              </w:rPr>
              <w:t>SA2</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12-205</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68.2</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0-3.1</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1.12</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0.1-1.6</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0.68</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0.015</w:t>
            </w:r>
            <w:r w:rsidR="00551C2A" w:rsidRPr="00627272">
              <w:rPr>
                <w:color w:val="000000"/>
                <w:sz w:val="16"/>
                <w:szCs w:val="16"/>
                <w:lang w:val="en-IE"/>
              </w:rPr>
              <w:t>-</w:t>
            </w:r>
            <w:r>
              <w:rPr>
                <w:color w:val="000000"/>
                <w:sz w:val="16"/>
                <w:szCs w:val="16"/>
                <w:lang w:val="en-IE"/>
              </w:rPr>
              <w:t>0.</w:t>
            </w:r>
            <w:r w:rsidR="00551C2A" w:rsidRPr="00627272">
              <w:rPr>
                <w:color w:val="000000"/>
                <w:sz w:val="16"/>
                <w:szCs w:val="16"/>
                <w:lang w:val="en-IE"/>
              </w:rPr>
              <w:t>102</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0.032</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0.008</w:t>
            </w:r>
            <w:r w:rsidR="00551C2A" w:rsidRPr="00627272">
              <w:rPr>
                <w:color w:val="000000"/>
                <w:sz w:val="16"/>
                <w:szCs w:val="16"/>
                <w:lang w:val="en-IE"/>
              </w:rPr>
              <w:t>-</w:t>
            </w:r>
            <w:r>
              <w:rPr>
                <w:color w:val="000000"/>
                <w:sz w:val="16"/>
                <w:szCs w:val="16"/>
                <w:lang w:val="en-IE"/>
              </w:rPr>
              <w:t>0.064</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0.024</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0162C7" w:rsidP="00551C2A">
            <w:pPr>
              <w:spacing w:line="240" w:lineRule="auto"/>
              <w:jc w:val="left"/>
              <w:rPr>
                <w:color w:val="000000"/>
                <w:sz w:val="16"/>
                <w:szCs w:val="16"/>
                <w:lang w:val="en-IE"/>
              </w:rPr>
            </w:pPr>
            <w:r>
              <w:rPr>
                <w:color w:val="000000"/>
                <w:sz w:val="16"/>
                <w:szCs w:val="16"/>
                <w:lang w:val="en-IE"/>
              </w:rPr>
              <w:t>SA3</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2-92</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38.8</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0.1-3.5</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1.09</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0.1-3.1</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0.66</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0.012</w:t>
            </w:r>
            <w:r w:rsidR="00551C2A" w:rsidRPr="00627272">
              <w:rPr>
                <w:color w:val="000000"/>
                <w:sz w:val="16"/>
                <w:szCs w:val="16"/>
                <w:lang w:val="en-IE"/>
              </w:rPr>
              <w:t>-</w:t>
            </w:r>
            <w:r>
              <w:rPr>
                <w:color w:val="000000"/>
                <w:sz w:val="16"/>
                <w:szCs w:val="16"/>
                <w:lang w:val="en-IE"/>
              </w:rPr>
              <w:t>0.087</w:t>
            </w:r>
          </w:p>
        </w:tc>
        <w:tc>
          <w:tcPr>
            <w:tcW w:w="709" w:type="dxa"/>
            <w:tcBorders>
              <w:top w:val="nil"/>
              <w:bottom w:val="nil"/>
              <w:right w:val="single" w:sz="4" w:space="0" w:color="A6A6A6" w:themeColor="background1" w:themeShade="A6"/>
            </w:tcBorders>
            <w:noWrap/>
            <w:vAlign w:val="bottom"/>
          </w:tcPr>
          <w:p w:rsidR="00551C2A" w:rsidRPr="00627272" w:rsidRDefault="007970F1" w:rsidP="007970F1">
            <w:pPr>
              <w:jc w:val="center"/>
              <w:rPr>
                <w:color w:val="000000"/>
                <w:sz w:val="16"/>
                <w:szCs w:val="16"/>
                <w:lang w:val="en-IE"/>
              </w:rPr>
            </w:pPr>
            <w:r>
              <w:rPr>
                <w:color w:val="000000"/>
                <w:sz w:val="16"/>
                <w:szCs w:val="16"/>
                <w:lang w:val="en-IE"/>
              </w:rPr>
              <w:t>0.0</w:t>
            </w:r>
            <w:r w:rsidR="00551C2A" w:rsidRPr="00627272">
              <w:rPr>
                <w:color w:val="000000"/>
                <w:sz w:val="16"/>
                <w:szCs w:val="16"/>
                <w:lang w:val="en-IE"/>
              </w:rPr>
              <w:t>3</w:t>
            </w:r>
            <w:r>
              <w:rPr>
                <w:color w:val="000000"/>
                <w:sz w:val="16"/>
                <w:szCs w:val="16"/>
                <w:lang w:val="en-IE"/>
              </w:rPr>
              <w:t>9</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7-</w:t>
            </w:r>
            <w:r>
              <w:rPr>
                <w:color w:val="000000"/>
                <w:sz w:val="16"/>
                <w:szCs w:val="16"/>
                <w:lang w:val="en-IE"/>
              </w:rPr>
              <w:t>0.049</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0.020</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F</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1-42</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16.5</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0-3.7</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0.87</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0-2.4</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0.53</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0.005</w:t>
            </w:r>
            <w:r w:rsidR="00551C2A" w:rsidRPr="00627272">
              <w:rPr>
                <w:color w:val="000000"/>
                <w:sz w:val="16"/>
                <w:szCs w:val="16"/>
                <w:lang w:val="en-IE"/>
              </w:rPr>
              <w:t>-</w:t>
            </w:r>
            <w:r>
              <w:rPr>
                <w:color w:val="000000"/>
                <w:sz w:val="16"/>
                <w:szCs w:val="16"/>
                <w:lang w:val="en-IE"/>
              </w:rPr>
              <w:t>0.021</w:t>
            </w:r>
          </w:p>
        </w:tc>
        <w:tc>
          <w:tcPr>
            <w:tcW w:w="709" w:type="dxa"/>
            <w:tcBorders>
              <w:top w:val="nil"/>
              <w:bottom w:val="nil"/>
              <w:right w:val="single" w:sz="4" w:space="0" w:color="A6A6A6" w:themeColor="background1" w:themeShade="A6"/>
            </w:tcBorders>
            <w:noWrap/>
            <w:vAlign w:val="bottom"/>
          </w:tcPr>
          <w:p w:rsidR="00551C2A" w:rsidRPr="00627272" w:rsidRDefault="007970F1" w:rsidP="007970F1">
            <w:pPr>
              <w:jc w:val="center"/>
              <w:rPr>
                <w:color w:val="000000"/>
                <w:sz w:val="16"/>
                <w:szCs w:val="16"/>
                <w:lang w:val="en-IE"/>
              </w:rPr>
            </w:pPr>
            <w:r>
              <w:rPr>
                <w:color w:val="000000"/>
                <w:sz w:val="16"/>
                <w:szCs w:val="16"/>
                <w:lang w:val="en-IE"/>
              </w:rPr>
              <w:t>0.0</w:t>
            </w:r>
            <w:r w:rsidR="00551C2A" w:rsidRPr="00627272">
              <w:rPr>
                <w:color w:val="000000"/>
                <w:sz w:val="16"/>
                <w:szCs w:val="16"/>
                <w:lang w:val="en-IE"/>
              </w:rPr>
              <w:t>11</w:t>
            </w: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w:t>
            </w:r>
            <w:r w:rsidR="00657FE8">
              <w:rPr>
                <w:color w:val="000000"/>
                <w:sz w:val="16"/>
                <w:szCs w:val="16"/>
                <w:lang w:val="en-IE"/>
              </w:rPr>
              <w:t>0.0</w:t>
            </w:r>
            <w:r w:rsidRPr="00627272">
              <w:rPr>
                <w:color w:val="000000"/>
                <w:sz w:val="16"/>
                <w:szCs w:val="16"/>
                <w:lang w:val="en-IE"/>
              </w:rPr>
              <w:t>14</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0.007</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P</w:t>
            </w:r>
            <w:r>
              <w:rPr>
                <w:color w:val="000000"/>
                <w:sz w:val="16"/>
                <w:szCs w:val="16"/>
                <w:lang w:val="en-IE"/>
              </w:rPr>
              <w:t>E</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1-31</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10.2</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0.2-2.2</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0.89</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0.84</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0.004</w:t>
            </w:r>
            <w:r w:rsidR="00551C2A" w:rsidRPr="00627272">
              <w:rPr>
                <w:color w:val="000000"/>
                <w:sz w:val="16"/>
                <w:szCs w:val="16"/>
                <w:lang w:val="en-IE"/>
              </w:rPr>
              <w:t>-</w:t>
            </w:r>
            <w:r>
              <w:rPr>
                <w:color w:val="000000"/>
                <w:sz w:val="16"/>
                <w:szCs w:val="16"/>
                <w:lang w:val="en-IE"/>
              </w:rPr>
              <w:t>0.0</w:t>
            </w:r>
            <w:r w:rsidR="00551C2A" w:rsidRPr="00627272">
              <w:rPr>
                <w:color w:val="000000"/>
                <w:sz w:val="16"/>
                <w:szCs w:val="16"/>
                <w:lang w:val="en-IE"/>
              </w:rPr>
              <w:t>55</w:t>
            </w:r>
          </w:p>
        </w:tc>
        <w:tc>
          <w:tcPr>
            <w:tcW w:w="709" w:type="dxa"/>
            <w:tcBorders>
              <w:top w:val="nil"/>
              <w:bottom w:val="nil"/>
              <w:right w:val="single" w:sz="4" w:space="0" w:color="A6A6A6" w:themeColor="background1" w:themeShade="A6"/>
            </w:tcBorders>
            <w:noWrap/>
            <w:vAlign w:val="bottom"/>
          </w:tcPr>
          <w:p w:rsidR="00551C2A" w:rsidRPr="00627272" w:rsidRDefault="007970F1" w:rsidP="007970F1">
            <w:pPr>
              <w:jc w:val="center"/>
              <w:rPr>
                <w:color w:val="000000"/>
                <w:sz w:val="16"/>
                <w:szCs w:val="16"/>
                <w:lang w:val="en-IE"/>
              </w:rPr>
            </w:pPr>
            <w:r>
              <w:rPr>
                <w:color w:val="000000"/>
                <w:sz w:val="16"/>
                <w:szCs w:val="16"/>
                <w:lang w:val="en-IE"/>
              </w:rPr>
              <w:t>0.0</w:t>
            </w:r>
            <w:r w:rsidR="00551C2A" w:rsidRPr="00627272">
              <w:rPr>
                <w:color w:val="000000"/>
                <w:sz w:val="16"/>
                <w:szCs w:val="16"/>
                <w:lang w:val="en-IE"/>
              </w:rPr>
              <w:t>1</w:t>
            </w:r>
            <w:r>
              <w:rPr>
                <w:color w:val="000000"/>
                <w:sz w:val="16"/>
                <w:szCs w:val="16"/>
                <w:lang w:val="en-IE"/>
              </w:rPr>
              <w:t>3</w:t>
            </w: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w:t>
            </w:r>
            <w:r w:rsidR="00657FE8">
              <w:rPr>
                <w:color w:val="000000"/>
                <w:sz w:val="16"/>
                <w:szCs w:val="16"/>
                <w:lang w:val="en-IE"/>
              </w:rPr>
              <w:t>0.0</w:t>
            </w:r>
            <w:r w:rsidRPr="00627272">
              <w:rPr>
                <w:color w:val="000000"/>
                <w:sz w:val="16"/>
                <w:szCs w:val="16"/>
                <w:lang w:val="en-IE"/>
              </w:rPr>
              <w:t>42</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0.009</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vAlign w:val="bottom"/>
            <w:hideMark/>
          </w:tcPr>
          <w:p w:rsidR="00551C2A" w:rsidRPr="00627272" w:rsidRDefault="00551C2A" w:rsidP="00551C2A">
            <w:pPr>
              <w:rPr>
                <w:color w:val="000000"/>
                <w:sz w:val="16"/>
                <w:szCs w:val="16"/>
                <w:lang w:val="en-IE"/>
              </w:rPr>
            </w:pP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1134" w:type="dxa"/>
            <w:tcBorders>
              <w:top w:val="nil"/>
              <w:left w:val="single" w:sz="4" w:space="0" w:color="A6A6A6" w:themeColor="background1" w:themeShade="A6"/>
              <w:bottom w:val="nil"/>
            </w:tcBorders>
            <w:noWrap/>
            <w:vAlign w:val="bottom"/>
            <w:hideMark/>
          </w:tcPr>
          <w:p w:rsidR="00551C2A" w:rsidRPr="00627272" w:rsidRDefault="00551C2A" w:rsidP="00551C2A">
            <w:pPr>
              <w:jc w:val="center"/>
              <w:rPr>
                <w:color w:val="000000"/>
                <w:sz w:val="16"/>
                <w:szCs w:val="16"/>
                <w:lang w:val="en-IE"/>
              </w:rPr>
            </w:pPr>
          </w:p>
        </w:tc>
        <w:tc>
          <w:tcPr>
            <w:tcW w:w="709" w:type="dxa"/>
            <w:tcBorders>
              <w:top w:val="nil"/>
              <w:bottom w:val="nil"/>
              <w:right w:val="single" w:sz="4" w:space="0" w:color="A6A6A6" w:themeColor="background1" w:themeShade="A6"/>
            </w:tcBorders>
            <w:noWrap/>
            <w:vAlign w:val="bottom"/>
            <w:hideMark/>
          </w:tcPr>
          <w:p w:rsidR="00551C2A" w:rsidRPr="00627272" w:rsidRDefault="00551C2A" w:rsidP="00551C2A">
            <w:pPr>
              <w:jc w:val="center"/>
              <w:rPr>
                <w:color w:val="000000"/>
                <w:sz w:val="16"/>
                <w:szCs w:val="16"/>
                <w:lang w:val="en-IE"/>
              </w:rPr>
            </w:pP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p>
        </w:tc>
        <w:tc>
          <w:tcPr>
            <w:tcW w:w="836" w:type="dxa"/>
            <w:tcBorders>
              <w:top w:val="nil"/>
              <w:bottom w:val="nil"/>
              <w:right w:val="single" w:sz="12" w:space="0" w:color="000000"/>
            </w:tcBorders>
          </w:tcPr>
          <w:p w:rsidR="00551C2A" w:rsidRPr="00627272" w:rsidRDefault="00551C2A" w:rsidP="00551C2A">
            <w:pPr>
              <w:spacing w:line="240" w:lineRule="auto"/>
              <w:jc w:val="center"/>
              <w:rPr>
                <w:color w:val="000000"/>
                <w:sz w:val="16"/>
                <w:szCs w:val="16"/>
                <w:lang w:val="en-IE"/>
              </w:rPr>
            </w:pPr>
          </w:p>
        </w:tc>
      </w:tr>
      <w:tr w:rsidR="00551C2A" w:rsidRPr="00627272" w:rsidTr="00A86CE0">
        <w:trPr>
          <w:trHeight w:val="300"/>
          <w:jc w:val="center"/>
        </w:trPr>
        <w:tc>
          <w:tcPr>
            <w:tcW w:w="1686" w:type="dxa"/>
            <w:gridSpan w:val="2"/>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b/>
                <w:color w:val="000000"/>
                <w:sz w:val="16"/>
                <w:szCs w:val="16"/>
                <w:lang w:val="en-IE"/>
              </w:rPr>
            </w:pPr>
            <w:r w:rsidRPr="00627272">
              <w:rPr>
                <w:b/>
                <w:color w:val="000000"/>
                <w:sz w:val="16"/>
                <w:szCs w:val="16"/>
                <w:lang w:val="en-IE"/>
              </w:rPr>
              <w:t>Turloughs</w:t>
            </w:r>
          </w:p>
        </w:tc>
        <w:tc>
          <w:tcPr>
            <w:tcW w:w="851" w:type="dxa"/>
            <w:tcBorders>
              <w:top w:val="nil"/>
              <w:bottom w:val="nil"/>
              <w:right w:val="nil"/>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42-239</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131.8</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0.1-4.3</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1.12</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0-2.4</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0.66</w:t>
            </w:r>
          </w:p>
        </w:tc>
        <w:tc>
          <w:tcPr>
            <w:tcW w:w="1134" w:type="dxa"/>
            <w:tcBorders>
              <w:top w:val="nil"/>
              <w:left w:val="single" w:sz="4" w:space="0" w:color="A6A6A6" w:themeColor="background1" w:themeShade="A6"/>
              <w:bottom w:val="nil"/>
            </w:tcBorders>
            <w:noWrap/>
            <w:vAlign w:val="bottom"/>
            <w:hideMark/>
          </w:tcPr>
          <w:p w:rsidR="00551C2A" w:rsidRPr="00627272" w:rsidRDefault="007970F1" w:rsidP="00551C2A">
            <w:pPr>
              <w:jc w:val="center"/>
              <w:rPr>
                <w:b/>
                <w:color w:val="000000"/>
                <w:sz w:val="16"/>
                <w:szCs w:val="16"/>
                <w:lang w:val="en-IE"/>
              </w:rPr>
            </w:pPr>
            <w:r>
              <w:rPr>
                <w:b/>
                <w:color w:val="000000"/>
                <w:sz w:val="16"/>
                <w:szCs w:val="16"/>
                <w:lang w:val="en-IE"/>
              </w:rPr>
              <w:t>0.014</w:t>
            </w:r>
            <w:r w:rsidR="00551C2A" w:rsidRPr="00627272">
              <w:rPr>
                <w:b/>
                <w:color w:val="000000"/>
                <w:sz w:val="16"/>
                <w:szCs w:val="16"/>
                <w:lang w:val="en-IE"/>
              </w:rPr>
              <w:t>-</w:t>
            </w:r>
            <w:r>
              <w:rPr>
                <w:b/>
                <w:color w:val="000000"/>
                <w:sz w:val="16"/>
                <w:szCs w:val="16"/>
                <w:lang w:val="en-IE"/>
              </w:rPr>
              <w:t>0.</w:t>
            </w:r>
            <w:r w:rsidR="00551C2A" w:rsidRPr="00627272">
              <w:rPr>
                <w:b/>
                <w:color w:val="000000"/>
                <w:sz w:val="16"/>
                <w:szCs w:val="16"/>
                <w:lang w:val="en-IE"/>
              </w:rPr>
              <w:t>115</w:t>
            </w:r>
          </w:p>
        </w:tc>
        <w:tc>
          <w:tcPr>
            <w:tcW w:w="709" w:type="dxa"/>
            <w:tcBorders>
              <w:top w:val="nil"/>
              <w:bottom w:val="nil"/>
              <w:right w:val="single" w:sz="4" w:space="0" w:color="A6A6A6" w:themeColor="background1" w:themeShade="A6"/>
            </w:tcBorders>
            <w:noWrap/>
            <w:vAlign w:val="bottom"/>
            <w:hideMark/>
          </w:tcPr>
          <w:p w:rsidR="00551C2A" w:rsidRPr="00627272" w:rsidRDefault="00551C2A" w:rsidP="00551C2A">
            <w:pPr>
              <w:jc w:val="center"/>
              <w:rPr>
                <w:b/>
                <w:color w:val="000000"/>
                <w:sz w:val="16"/>
                <w:szCs w:val="16"/>
                <w:lang w:val="en-IE"/>
              </w:rPr>
            </w:pPr>
            <w:r w:rsidRPr="00627272">
              <w:rPr>
                <w:b/>
                <w:color w:val="000000"/>
                <w:sz w:val="16"/>
                <w:szCs w:val="16"/>
                <w:lang w:val="en-IE"/>
              </w:rPr>
              <w:t>33.70</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b/>
                <w:color w:val="000000"/>
                <w:sz w:val="16"/>
                <w:szCs w:val="16"/>
                <w:lang w:val="en-IE"/>
              </w:rPr>
            </w:pPr>
            <w:r>
              <w:rPr>
                <w:b/>
                <w:color w:val="000000"/>
                <w:sz w:val="16"/>
                <w:szCs w:val="16"/>
                <w:lang w:val="en-IE"/>
              </w:rPr>
              <w:t>0.00</w:t>
            </w:r>
            <w:r w:rsidR="00551C2A" w:rsidRPr="00627272">
              <w:rPr>
                <w:b/>
                <w:color w:val="000000"/>
                <w:sz w:val="16"/>
                <w:szCs w:val="16"/>
                <w:lang w:val="en-IE"/>
              </w:rPr>
              <w:t>6-</w:t>
            </w:r>
            <w:r>
              <w:rPr>
                <w:b/>
                <w:color w:val="000000"/>
                <w:sz w:val="16"/>
                <w:szCs w:val="16"/>
                <w:lang w:val="en-IE"/>
              </w:rPr>
              <w:t>0.061</w:t>
            </w:r>
          </w:p>
        </w:tc>
        <w:tc>
          <w:tcPr>
            <w:tcW w:w="836" w:type="dxa"/>
            <w:tcBorders>
              <w:top w:val="nil"/>
              <w:bottom w:val="nil"/>
              <w:right w:val="single" w:sz="12" w:space="0" w:color="000000"/>
            </w:tcBorders>
            <w:vAlign w:val="bottom"/>
          </w:tcPr>
          <w:p w:rsidR="00551C2A" w:rsidRPr="00627272" w:rsidRDefault="00657FE8" w:rsidP="00551C2A">
            <w:pPr>
              <w:jc w:val="center"/>
              <w:rPr>
                <w:b/>
                <w:color w:val="000000"/>
                <w:sz w:val="16"/>
                <w:szCs w:val="16"/>
                <w:lang w:val="en-IE"/>
              </w:rPr>
            </w:pPr>
            <w:r>
              <w:rPr>
                <w:b/>
                <w:color w:val="000000"/>
                <w:sz w:val="16"/>
                <w:szCs w:val="16"/>
                <w:lang w:val="en-IE"/>
              </w:rPr>
              <w:t>0.021</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Blackrock</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46-239</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138.4</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0.3-3</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1.32</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0.3-1.5</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0.81</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0.022</w:t>
            </w:r>
            <w:r w:rsidR="00551C2A" w:rsidRPr="00627272">
              <w:rPr>
                <w:color w:val="000000"/>
                <w:sz w:val="16"/>
                <w:szCs w:val="16"/>
                <w:lang w:val="en-IE"/>
              </w:rPr>
              <w:t>-</w:t>
            </w:r>
            <w:r>
              <w:rPr>
                <w:color w:val="000000"/>
                <w:sz w:val="16"/>
                <w:szCs w:val="16"/>
                <w:lang w:val="en-IE"/>
              </w:rPr>
              <w:t>0.</w:t>
            </w:r>
            <w:r w:rsidR="00551C2A" w:rsidRPr="00627272">
              <w:rPr>
                <w:color w:val="000000"/>
                <w:sz w:val="16"/>
                <w:szCs w:val="16"/>
                <w:lang w:val="en-IE"/>
              </w:rPr>
              <w:t>115</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0.047</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0.013</w:t>
            </w:r>
            <w:r w:rsidR="00551C2A" w:rsidRPr="00627272">
              <w:rPr>
                <w:color w:val="000000"/>
                <w:sz w:val="16"/>
                <w:szCs w:val="16"/>
                <w:lang w:val="en-IE"/>
              </w:rPr>
              <w:t>-</w:t>
            </w:r>
            <w:r>
              <w:rPr>
                <w:color w:val="000000"/>
                <w:sz w:val="16"/>
                <w:szCs w:val="16"/>
                <w:lang w:val="en-IE"/>
              </w:rPr>
              <w:t>0.0061</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0.029</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Coy</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58-220</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150.3</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0.3-3</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0.57</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25-</w:t>
            </w:r>
            <w:r>
              <w:rPr>
                <w:color w:val="000000"/>
                <w:sz w:val="16"/>
                <w:szCs w:val="16"/>
                <w:lang w:val="en-IE"/>
              </w:rPr>
              <w:t>0.064</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0.042</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6-</w:t>
            </w:r>
            <w:r>
              <w:rPr>
                <w:color w:val="000000"/>
                <w:sz w:val="16"/>
                <w:szCs w:val="16"/>
                <w:lang w:val="en-IE"/>
              </w:rPr>
              <w:t>0.0046</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0.021</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Coole</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42-235</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114.4</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0.3-3.2</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1.10</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0.2-1.7</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0.66</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0.024</w:t>
            </w:r>
            <w:r w:rsidR="00551C2A" w:rsidRPr="00627272">
              <w:rPr>
                <w:color w:val="000000"/>
                <w:sz w:val="16"/>
                <w:szCs w:val="16"/>
                <w:lang w:val="en-IE"/>
              </w:rPr>
              <w:t>-</w:t>
            </w:r>
            <w:r>
              <w:rPr>
                <w:color w:val="000000"/>
                <w:sz w:val="16"/>
                <w:szCs w:val="16"/>
                <w:lang w:val="en-IE"/>
              </w:rPr>
              <w:t>0.045</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0.030</w:t>
            </w:r>
          </w:p>
        </w:tc>
        <w:tc>
          <w:tcPr>
            <w:tcW w:w="1203" w:type="dxa"/>
            <w:tcBorders>
              <w:top w:val="nil"/>
              <w:left w:val="single" w:sz="4" w:space="0" w:color="A6A6A6" w:themeColor="background1" w:themeShade="A6"/>
              <w:bottom w:val="nil"/>
            </w:tcBorders>
            <w:vAlign w:val="bottom"/>
          </w:tcPr>
          <w:p w:rsidR="00551C2A" w:rsidRPr="00627272" w:rsidRDefault="00657FE8" w:rsidP="00657FE8">
            <w:pPr>
              <w:jc w:val="center"/>
              <w:rPr>
                <w:color w:val="000000"/>
                <w:sz w:val="16"/>
                <w:szCs w:val="16"/>
                <w:lang w:val="en-IE"/>
              </w:rPr>
            </w:pPr>
            <w:r>
              <w:rPr>
                <w:color w:val="000000"/>
                <w:sz w:val="16"/>
                <w:szCs w:val="16"/>
                <w:lang w:val="en-IE"/>
              </w:rPr>
              <w:t>0.009</w:t>
            </w:r>
            <w:r w:rsidR="00551C2A" w:rsidRPr="00627272">
              <w:rPr>
                <w:color w:val="000000"/>
                <w:sz w:val="16"/>
                <w:szCs w:val="16"/>
                <w:lang w:val="en-IE"/>
              </w:rPr>
              <w:t>-</w:t>
            </w:r>
            <w:r>
              <w:rPr>
                <w:color w:val="000000"/>
                <w:sz w:val="16"/>
                <w:szCs w:val="16"/>
                <w:lang w:val="en-IE"/>
              </w:rPr>
              <w:t>0.0032</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0.020</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Garryland</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77-170</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134.6</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0.3-2.7</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0.95</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0.1-1.7</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0.60</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0.014</w:t>
            </w:r>
            <w:r w:rsidR="00551C2A" w:rsidRPr="00627272">
              <w:rPr>
                <w:color w:val="000000"/>
                <w:sz w:val="16"/>
                <w:szCs w:val="16"/>
                <w:lang w:val="en-IE"/>
              </w:rPr>
              <w:t>-</w:t>
            </w:r>
            <w:r>
              <w:rPr>
                <w:color w:val="000000"/>
                <w:sz w:val="16"/>
                <w:szCs w:val="16"/>
                <w:lang w:val="en-IE"/>
              </w:rPr>
              <w:t>0.034</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0.021</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0.005</w:t>
            </w:r>
            <w:r w:rsidR="00551C2A" w:rsidRPr="00627272">
              <w:rPr>
                <w:color w:val="000000"/>
                <w:sz w:val="16"/>
                <w:szCs w:val="16"/>
                <w:lang w:val="en-IE"/>
              </w:rPr>
              <w:t>-</w:t>
            </w:r>
            <w:r>
              <w:rPr>
                <w:color w:val="000000"/>
                <w:sz w:val="16"/>
                <w:szCs w:val="16"/>
                <w:lang w:val="en-IE"/>
              </w:rPr>
              <w:t>0.0025</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0.016</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Caherglassaun</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77-235</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121.3</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0.1-4.3</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0-2.4</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0.65</w:t>
            </w:r>
          </w:p>
        </w:tc>
        <w:tc>
          <w:tcPr>
            <w:tcW w:w="1134" w:type="dxa"/>
            <w:tcBorders>
              <w:top w:val="nil"/>
              <w:left w:val="single" w:sz="4" w:space="0" w:color="A6A6A6" w:themeColor="background1" w:themeShade="A6"/>
              <w:bottom w:val="nil"/>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0.019</w:t>
            </w:r>
            <w:r w:rsidR="00551C2A" w:rsidRPr="00627272">
              <w:rPr>
                <w:color w:val="000000"/>
                <w:sz w:val="16"/>
                <w:szCs w:val="16"/>
                <w:lang w:val="en-IE"/>
              </w:rPr>
              <w:t>-</w:t>
            </w:r>
            <w:r>
              <w:rPr>
                <w:color w:val="000000"/>
                <w:sz w:val="16"/>
                <w:szCs w:val="16"/>
                <w:lang w:val="en-IE"/>
              </w:rPr>
              <w:t>0.036</w:t>
            </w:r>
          </w:p>
        </w:tc>
        <w:tc>
          <w:tcPr>
            <w:tcW w:w="709" w:type="dxa"/>
            <w:tcBorders>
              <w:top w:val="nil"/>
              <w:bottom w:val="nil"/>
              <w:right w:val="single" w:sz="4" w:space="0" w:color="A6A6A6" w:themeColor="background1" w:themeShade="A6"/>
            </w:tcBorders>
            <w:noWrap/>
            <w:vAlign w:val="bottom"/>
          </w:tcPr>
          <w:p w:rsidR="00551C2A" w:rsidRPr="00627272" w:rsidRDefault="007970F1" w:rsidP="00551C2A">
            <w:pPr>
              <w:jc w:val="center"/>
              <w:rPr>
                <w:color w:val="000000"/>
                <w:sz w:val="16"/>
                <w:szCs w:val="16"/>
                <w:lang w:val="en-IE"/>
              </w:rPr>
            </w:pPr>
            <w:r>
              <w:rPr>
                <w:color w:val="000000"/>
                <w:sz w:val="16"/>
                <w:szCs w:val="16"/>
                <w:lang w:val="en-IE"/>
              </w:rPr>
              <w:t>0.027</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0.008</w:t>
            </w:r>
            <w:r w:rsidR="00551C2A" w:rsidRPr="00627272">
              <w:rPr>
                <w:color w:val="000000"/>
                <w:sz w:val="16"/>
                <w:szCs w:val="16"/>
                <w:lang w:val="en-IE"/>
              </w:rPr>
              <w:t>-</w:t>
            </w:r>
            <w:r>
              <w:rPr>
                <w:color w:val="000000"/>
                <w:sz w:val="16"/>
                <w:szCs w:val="16"/>
                <w:lang w:val="en-IE"/>
              </w:rPr>
              <w:t>0.0028</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0.020</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vAlign w:val="bottom"/>
            <w:hideMark/>
          </w:tcPr>
          <w:p w:rsidR="00551C2A" w:rsidRPr="00627272" w:rsidRDefault="00551C2A" w:rsidP="00551C2A">
            <w:pPr>
              <w:rPr>
                <w:color w:val="000000"/>
                <w:sz w:val="16"/>
                <w:szCs w:val="16"/>
                <w:lang w:val="en-IE"/>
              </w:rPr>
            </w:pP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1134" w:type="dxa"/>
            <w:tcBorders>
              <w:top w:val="nil"/>
              <w:left w:val="single" w:sz="4" w:space="0" w:color="A6A6A6" w:themeColor="background1" w:themeShade="A6"/>
              <w:bottom w:val="nil"/>
            </w:tcBorders>
            <w:noWrap/>
            <w:vAlign w:val="bottom"/>
            <w:hideMark/>
          </w:tcPr>
          <w:p w:rsidR="00551C2A" w:rsidRPr="00627272" w:rsidRDefault="00551C2A" w:rsidP="00551C2A">
            <w:pPr>
              <w:jc w:val="center"/>
              <w:rPr>
                <w:color w:val="000000"/>
                <w:sz w:val="16"/>
                <w:szCs w:val="16"/>
                <w:lang w:val="en-IE"/>
              </w:rPr>
            </w:pPr>
          </w:p>
        </w:tc>
        <w:tc>
          <w:tcPr>
            <w:tcW w:w="709" w:type="dxa"/>
            <w:tcBorders>
              <w:top w:val="nil"/>
              <w:bottom w:val="nil"/>
              <w:right w:val="single" w:sz="4" w:space="0" w:color="A6A6A6" w:themeColor="background1" w:themeShade="A6"/>
            </w:tcBorders>
            <w:noWrap/>
            <w:vAlign w:val="bottom"/>
            <w:hideMark/>
          </w:tcPr>
          <w:p w:rsidR="00551C2A" w:rsidRPr="00627272" w:rsidRDefault="00551C2A" w:rsidP="00551C2A">
            <w:pPr>
              <w:jc w:val="center"/>
              <w:rPr>
                <w:color w:val="000000"/>
                <w:sz w:val="16"/>
                <w:szCs w:val="16"/>
                <w:lang w:val="en-IE"/>
              </w:rPr>
            </w:pP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p>
        </w:tc>
        <w:tc>
          <w:tcPr>
            <w:tcW w:w="836" w:type="dxa"/>
            <w:tcBorders>
              <w:top w:val="nil"/>
              <w:bottom w:val="nil"/>
              <w:right w:val="single" w:sz="12" w:space="0" w:color="000000"/>
            </w:tcBorders>
          </w:tcPr>
          <w:p w:rsidR="00551C2A" w:rsidRPr="00627272" w:rsidRDefault="00551C2A" w:rsidP="00551C2A">
            <w:pPr>
              <w:spacing w:line="240" w:lineRule="auto"/>
              <w:jc w:val="center"/>
              <w:rPr>
                <w:color w:val="000000"/>
                <w:sz w:val="16"/>
                <w:szCs w:val="16"/>
                <w:lang w:val="en-IE"/>
              </w:rPr>
            </w:pPr>
          </w:p>
        </w:tc>
      </w:tr>
      <w:tr w:rsidR="00551C2A" w:rsidRPr="00627272" w:rsidTr="00A86CE0">
        <w:trPr>
          <w:trHeight w:val="300"/>
          <w:jc w:val="center"/>
        </w:trPr>
        <w:tc>
          <w:tcPr>
            <w:tcW w:w="1686" w:type="dxa"/>
            <w:gridSpan w:val="2"/>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b/>
                <w:color w:val="000000"/>
                <w:sz w:val="16"/>
                <w:szCs w:val="16"/>
                <w:lang w:val="en-IE"/>
              </w:rPr>
            </w:pPr>
            <w:r w:rsidRPr="00627272">
              <w:rPr>
                <w:b/>
                <w:color w:val="000000"/>
                <w:sz w:val="16"/>
                <w:szCs w:val="16"/>
                <w:lang w:val="en-IE"/>
              </w:rPr>
              <w:t>Groundwater</w:t>
            </w:r>
          </w:p>
        </w:tc>
        <w:tc>
          <w:tcPr>
            <w:tcW w:w="851" w:type="dxa"/>
            <w:tcBorders>
              <w:top w:val="nil"/>
              <w:bottom w:val="nil"/>
              <w:right w:val="nil"/>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104-547</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365.1</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0.2-10.4</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2.30</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0-10.3</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1.51</w:t>
            </w:r>
          </w:p>
        </w:tc>
        <w:tc>
          <w:tcPr>
            <w:tcW w:w="1134" w:type="dxa"/>
            <w:tcBorders>
              <w:top w:val="nil"/>
              <w:left w:val="single" w:sz="4" w:space="0" w:color="A6A6A6" w:themeColor="background1" w:themeShade="A6"/>
              <w:bottom w:val="nil"/>
            </w:tcBorders>
            <w:noWrap/>
            <w:vAlign w:val="bottom"/>
            <w:hideMark/>
          </w:tcPr>
          <w:p w:rsidR="00657FE8" w:rsidRPr="00627272" w:rsidRDefault="00551C2A" w:rsidP="00657FE8">
            <w:pPr>
              <w:jc w:val="center"/>
              <w:rPr>
                <w:b/>
                <w:color w:val="000000"/>
                <w:sz w:val="16"/>
                <w:szCs w:val="16"/>
                <w:lang w:val="en-IE"/>
              </w:rPr>
            </w:pPr>
            <w:r w:rsidRPr="00627272">
              <w:rPr>
                <w:b/>
                <w:color w:val="000000"/>
                <w:sz w:val="16"/>
                <w:szCs w:val="16"/>
                <w:lang w:val="en-IE"/>
              </w:rPr>
              <w:t>0-</w:t>
            </w:r>
            <w:r w:rsidR="00657FE8">
              <w:rPr>
                <w:b/>
                <w:color w:val="000000"/>
                <w:sz w:val="16"/>
                <w:szCs w:val="16"/>
                <w:lang w:val="en-IE"/>
              </w:rPr>
              <w:t>0.</w:t>
            </w:r>
            <w:r w:rsidRPr="00627272">
              <w:rPr>
                <w:b/>
                <w:color w:val="000000"/>
                <w:sz w:val="16"/>
                <w:szCs w:val="16"/>
                <w:lang w:val="en-IE"/>
              </w:rPr>
              <w:t>58</w:t>
            </w:r>
          </w:p>
        </w:tc>
        <w:tc>
          <w:tcPr>
            <w:tcW w:w="709" w:type="dxa"/>
            <w:tcBorders>
              <w:top w:val="nil"/>
              <w:bottom w:val="nil"/>
              <w:right w:val="single" w:sz="4" w:space="0" w:color="A6A6A6" w:themeColor="background1" w:themeShade="A6"/>
            </w:tcBorders>
            <w:noWrap/>
            <w:vAlign w:val="bottom"/>
            <w:hideMark/>
          </w:tcPr>
          <w:p w:rsidR="00551C2A" w:rsidRPr="00627272" w:rsidRDefault="00657FE8" w:rsidP="00657FE8">
            <w:pPr>
              <w:jc w:val="center"/>
              <w:rPr>
                <w:b/>
                <w:color w:val="000000"/>
                <w:sz w:val="16"/>
                <w:szCs w:val="16"/>
                <w:lang w:val="en-IE"/>
              </w:rPr>
            </w:pPr>
            <w:r>
              <w:rPr>
                <w:b/>
                <w:color w:val="000000"/>
                <w:sz w:val="16"/>
                <w:szCs w:val="16"/>
                <w:lang w:val="en-IE"/>
              </w:rPr>
              <w:t>0.0</w:t>
            </w:r>
            <w:r w:rsidR="00551C2A" w:rsidRPr="00627272">
              <w:rPr>
                <w:b/>
                <w:color w:val="000000"/>
                <w:sz w:val="16"/>
                <w:szCs w:val="16"/>
                <w:lang w:val="en-IE"/>
              </w:rPr>
              <w:t>31</w:t>
            </w: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w:t>
            </w:r>
            <w:r w:rsidR="00657FE8">
              <w:rPr>
                <w:b/>
                <w:color w:val="000000"/>
                <w:sz w:val="16"/>
                <w:szCs w:val="16"/>
                <w:lang w:val="en-IE"/>
              </w:rPr>
              <w:t>0.</w:t>
            </w:r>
            <w:r w:rsidRPr="00627272">
              <w:rPr>
                <w:b/>
                <w:color w:val="000000"/>
                <w:sz w:val="16"/>
                <w:szCs w:val="16"/>
                <w:lang w:val="en-IE"/>
              </w:rPr>
              <w:t>484.9</w:t>
            </w:r>
          </w:p>
        </w:tc>
        <w:tc>
          <w:tcPr>
            <w:tcW w:w="836" w:type="dxa"/>
            <w:tcBorders>
              <w:top w:val="nil"/>
              <w:bottom w:val="nil"/>
              <w:right w:val="single" w:sz="12" w:space="0" w:color="000000"/>
            </w:tcBorders>
            <w:vAlign w:val="bottom"/>
          </w:tcPr>
          <w:p w:rsidR="00551C2A" w:rsidRPr="00627272" w:rsidRDefault="00657FE8" w:rsidP="00551C2A">
            <w:pPr>
              <w:jc w:val="center"/>
              <w:rPr>
                <w:b/>
                <w:color w:val="000000"/>
                <w:sz w:val="16"/>
                <w:szCs w:val="16"/>
                <w:lang w:val="en-IE"/>
              </w:rPr>
            </w:pPr>
            <w:r>
              <w:rPr>
                <w:b/>
                <w:color w:val="000000"/>
                <w:sz w:val="16"/>
                <w:szCs w:val="16"/>
                <w:lang w:val="en-IE"/>
              </w:rPr>
              <w:t>0.021</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BH3</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135-547</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387.8</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0.4-3.9</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2.45</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0.1-3.6</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1.60</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0.00</w:t>
            </w:r>
            <w:r w:rsidR="00551C2A" w:rsidRPr="00627272">
              <w:rPr>
                <w:color w:val="000000"/>
                <w:sz w:val="16"/>
                <w:szCs w:val="16"/>
                <w:lang w:val="en-IE"/>
              </w:rPr>
              <w:t>3-</w:t>
            </w:r>
            <w:r>
              <w:rPr>
                <w:color w:val="000000"/>
                <w:sz w:val="16"/>
                <w:szCs w:val="16"/>
                <w:lang w:val="en-IE"/>
              </w:rPr>
              <w:t>0.0</w:t>
            </w:r>
            <w:r w:rsidR="00551C2A" w:rsidRPr="00627272">
              <w:rPr>
                <w:color w:val="000000"/>
                <w:sz w:val="16"/>
                <w:szCs w:val="16"/>
                <w:lang w:val="en-IE"/>
              </w:rPr>
              <w:t>5</w:t>
            </w:r>
          </w:p>
        </w:tc>
        <w:tc>
          <w:tcPr>
            <w:tcW w:w="709" w:type="dxa"/>
            <w:tcBorders>
              <w:top w:val="nil"/>
              <w:bottom w:val="nil"/>
              <w:right w:val="single" w:sz="4" w:space="0" w:color="A6A6A6" w:themeColor="background1" w:themeShade="A6"/>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w:t>
            </w:r>
            <w:r w:rsidR="00551C2A" w:rsidRPr="00627272">
              <w:rPr>
                <w:color w:val="000000"/>
                <w:sz w:val="16"/>
                <w:szCs w:val="16"/>
                <w:lang w:val="en-IE"/>
              </w:rPr>
              <w:t>13</w:t>
            </w: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w:t>
            </w:r>
            <w:r w:rsidR="00657FE8">
              <w:rPr>
                <w:color w:val="000000"/>
                <w:sz w:val="16"/>
                <w:szCs w:val="16"/>
                <w:lang w:val="en-IE"/>
              </w:rPr>
              <w:t>0.035</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0.008</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BH5</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246-508</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307.7</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0.3-3.1</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1.39</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0-1.4</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0.48</w:t>
            </w:r>
          </w:p>
        </w:tc>
        <w:tc>
          <w:tcPr>
            <w:tcW w:w="1134" w:type="dxa"/>
            <w:tcBorders>
              <w:top w:val="nil"/>
              <w:left w:val="single" w:sz="4" w:space="0" w:color="A6A6A6" w:themeColor="background1" w:themeShade="A6"/>
              <w:bottom w:val="nil"/>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9-</w:t>
            </w:r>
            <w:r>
              <w:rPr>
                <w:color w:val="000000"/>
                <w:sz w:val="16"/>
                <w:szCs w:val="16"/>
                <w:lang w:val="en-IE"/>
              </w:rPr>
              <w:t>0.58</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0.072</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0.005</w:t>
            </w:r>
            <w:r w:rsidR="00551C2A" w:rsidRPr="00627272">
              <w:rPr>
                <w:color w:val="000000"/>
                <w:sz w:val="16"/>
                <w:szCs w:val="16"/>
                <w:lang w:val="en-IE"/>
              </w:rPr>
              <w:t>-</w:t>
            </w:r>
            <w:r>
              <w:rPr>
                <w:color w:val="000000"/>
                <w:sz w:val="16"/>
                <w:szCs w:val="16"/>
                <w:lang w:val="en-IE"/>
              </w:rPr>
              <w:t>0.485</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0.052</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BH7</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308-420</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366.9</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0.4-10.4</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3.31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0-10.3</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2.79</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0.00</w:t>
            </w:r>
            <w:r w:rsidR="00551C2A" w:rsidRPr="00627272">
              <w:rPr>
                <w:color w:val="000000"/>
                <w:sz w:val="16"/>
                <w:szCs w:val="16"/>
                <w:lang w:val="en-IE"/>
              </w:rPr>
              <w:t>7-</w:t>
            </w:r>
            <w:r>
              <w:rPr>
                <w:color w:val="000000"/>
                <w:sz w:val="16"/>
                <w:szCs w:val="16"/>
                <w:lang w:val="en-IE"/>
              </w:rPr>
              <w:t>0.0</w:t>
            </w:r>
            <w:r w:rsidR="00551C2A" w:rsidRPr="00627272">
              <w:rPr>
                <w:color w:val="000000"/>
                <w:sz w:val="16"/>
                <w:szCs w:val="16"/>
                <w:lang w:val="en-IE"/>
              </w:rPr>
              <w:t>53</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1</w:t>
            </w:r>
            <w:r>
              <w:rPr>
                <w:color w:val="000000"/>
                <w:sz w:val="16"/>
                <w:szCs w:val="16"/>
                <w:lang w:val="en-IE"/>
              </w:rPr>
              <w:t>5</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0.005</w:t>
            </w:r>
            <w:r w:rsidR="00551C2A" w:rsidRPr="00627272">
              <w:rPr>
                <w:color w:val="000000"/>
                <w:sz w:val="16"/>
                <w:szCs w:val="16"/>
                <w:lang w:val="en-IE"/>
              </w:rPr>
              <w:t>-</w:t>
            </w:r>
            <w:r>
              <w:rPr>
                <w:color w:val="000000"/>
                <w:sz w:val="16"/>
                <w:szCs w:val="16"/>
                <w:lang w:val="en-IE"/>
              </w:rPr>
              <w:t>0.014</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0.008</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BH10</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104-458</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357.0</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0.1-4.2</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2.17</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0.1-2.6</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1.52</w:t>
            </w:r>
          </w:p>
        </w:tc>
        <w:tc>
          <w:tcPr>
            <w:tcW w:w="1134" w:type="dxa"/>
            <w:tcBorders>
              <w:top w:val="nil"/>
              <w:left w:val="single" w:sz="4" w:space="0" w:color="A6A6A6" w:themeColor="background1" w:themeShade="A6"/>
              <w:bottom w:val="nil"/>
            </w:tcBorders>
            <w:noWrap/>
            <w:vAlign w:val="bottom"/>
          </w:tcPr>
          <w:p w:rsidR="00551C2A" w:rsidRPr="00627272" w:rsidRDefault="00551C2A" w:rsidP="00657FE8">
            <w:pPr>
              <w:jc w:val="center"/>
              <w:rPr>
                <w:color w:val="000000"/>
                <w:sz w:val="16"/>
                <w:szCs w:val="16"/>
                <w:lang w:val="en-IE"/>
              </w:rPr>
            </w:pPr>
            <w:r w:rsidRPr="00627272">
              <w:rPr>
                <w:color w:val="000000"/>
                <w:sz w:val="16"/>
                <w:szCs w:val="16"/>
                <w:lang w:val="en-IE"/>
              </w:rPr>
              <w:t>0-</w:t>
            </w:r>
            <w:r w:rsidR="00657FE8">
              <w:rPr>
                <w:color w:val="000000"/>
                <w:sz w:val="16"/>
                <w:szCs w:val="16"/>
                <w:lang w:val="en-IE"/>
              </w:rPr>
              <w:t>0.0</w:t>
            </w:r>
            <w:r w:rsidRPr="00627272">
              <w:rPr>
                <w:color w:val="000000"/>
                <w:sz w:val="16"/>
                <w:szCs w:val="16"/>
                <w:lang w:val="en-IE"/>
              </w:rPr>
              <w:t>1</w:t>
            </w:r>
            <w:r w:rsidR="00657FE8">
              <w:rPr>
                <w:color w:val="000000"/>
                <w:sz w:val="16"/>
                <w:szCs w:val="16"/>
                <w:lang w:val="en-IE"/>
              </w:rPr>
              <w:t>3</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5</w:t>
            </w: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w:t>
            </w:r>
            <w:r w:rsidR="00657FE8">
              <w:rPr>
                <w:color w:val="000000"/>
                <w:sz w:val="16"/>
                <w:szCs w:val="16"/>
                <w:lang w:val="en-IE"/>
              </w:rPr>
              <w:t>000</w:t>
            </w:r>
            <w:r w:rsidRPr="00627272">
              <w:rPr>
                <w:color w:val="000000"/>
                <w:sz w:val="16"/>
                <w:szCs w:val="16"/>
                <w:lang w:val="en-IE"/>
              </w:rPr>
              <w:t>6-</w:t>
            </w:r>
            <w:r w:rsidR="00657FE8">
              <w:rPr>
                <w:color w:val="000000"/>
                <w:sz w:val="16"/>
                <w:szCs w:val="16"/>
                <w:lang w:val="en-IE"/>
              </w:rPr>
              <w:t>0.010</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0.004</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BH11</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269-362</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313.6</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0.2-2.4</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1.24</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0-2.9</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0.69</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0.00</w:t>
            </w:r>
            <w:r w:rsidR="00551C2A" w:rsidRPr="00627272">
              <w:rPr>
                <w:color w:val="000000"/>
                <w:sz w:val="16"/>
                <w:szCs w:val="16"/>
                <w:lang w:val="en-IE"/>
              </w:rPr>
              <w:t>5-</w:t>
            </w:r>
            <w:r>
              <w:rPr>
                <w:color w:val="000000"/>
                <w:sz w:val="16"/>
                <w:szCs w:val="16"/>
                <w:lang w:val="en-IE"/>
              </w:rPr>
              <w:t>0.13</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3</w:t>
            </w:r>
            <w:r>
              <w:rPr>
                <w:color w:val="000000"/>
                <w:sz w:val="16"/>
                <w:szCs w:val="16"/>
                <w:lang w:val="en-IE"/>
              </w:rPr>
              <w:t>3</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0.004</w:t>
            </w:r>
            <w:r w:rsidR="00551C2A" w:rsidRPr="00627272">
              <w:rPr>
                <w:color w:val="000000"/>
                <w:sz w:val="16"/>
                <w:szCs w:val="16"/>
                <w:lang w:val="en-IE"/>
              </w:rPr>
              <w:t>-</w:t>
            </w:r>
            <w:r>
              <w:rPr>
                <w:color w:val="000000"/>
                <w:sz w:val="16"/>
                <w:szCs w:val="16"/>
                <w:lang w:val="en-IE"/>
              </w:rPr>
              <w:t>0.021</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0.007</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BH12</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123-439</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375.5</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0.3-5.2</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2.95</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0.2-3.8</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1.97</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0.008</w:t>
            </w:r>
            <w:r w:rsidR="00551C2A" w:rsidRPr="00627272">
              <w:rPr>
                <w:color w:val="000000"/>
                <w:sz w:val="16"/>
                <w:szCs w:val="16"/>
                <w:lang w:val="en-IE"/>
              </w:rPr>
              <w:t>-</w:t>
            </w:r>
            <w:r>
              <w:rPr>
                <w:color w:val="000000"/>
                <w:sz w:val="16"/>
                <w:szCs w:val="16"/>
                <w:lang w:val="en-IE"/>
              </w:rPr>
              <w:t>0.0</w:t>
            </w:r>
            <w:r w:rsidR="00551C2A" w:rsidRPr="00627272">
              <w:rPr>
                <w:color w:val="000000"/>
                <w:sz w:val="16"/>
                <w:szCs w:val="16"/>
                <w:lang w:val="en-IE"/>
              </w:rPr>
              <w:t>4</w:t>
            </w:r>
            <w:r>
              <w:rPr>
                <w:color w:val="000000"/>
                <w:sz w:val="16"/>
                <w:szCs w:val="16"/>
                <w:lang w:val="en-IE"/>
              </w:rPr>
              <w:t>7</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1</w:t>
            </w:r>
            <w:r>
              <w:rPr>
                <w:color w:val="000000"/>
                <w:sz w:val="16"/>
                <w:szCs w:val="16"/>
                <w:lang w:val="en-IE"/>
              </w:rPr>
              <w:t>9</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0.002</w:t>
            </w:r>
            <w:r w:rsidR="00551C2A" w:rsidRPr="00627272">
              <w:rPr>
                <w:color w:val="000000"/>
                <w:sz w:val="16"/>
                <w:szCs w:val="16"/>
                <w:lang w:val="en-IE"/>
              </w:rPr>
              <w:t>-</w:t>
            </w:r>
            <w:r>
              <w:rPr>
                <w:color w:val="000000"/>
                <w:sz w:val="16"/>
                <w:szCs w:val="16"/>
                <w:lang w:val="en-IE"/>
              </w:rPr>
              <w:t>0.029</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0.007</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BH14</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162-458</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375.5</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1.1-5</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2.91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0-3.4</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1.75</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w:t>
            </w:r>
            <w:r w:rsidR="00551C2A" w:rsidRPr="00627272">
              <w:rPr>
                <w:color w:val="000000"/>
                <w:sz w:val="16"/>
                <w:szCs w:val="16"/>
                <w:lang w:val="en-IE"/>
              </w:rPr>
              <w:t>33-</w:t>
            </w:r>
            <w:r>
              <w:rPr>
                <w:color w:val="000000"/>
                <w:sz w:val="16"/>
                <w:szCs w:val="16"/>
                <w:lang w:val="en-IE"/>
              </w:rPr>
              <w:t>0.0</w:t>
            </w:r>
            <w:r w:rsidR="00551C2A" w:rsidRPr="00627272">
              <w:rPr>
                <w:color w:val="000000"/>
                <w:sz w:val="16"/>
                <w:szCs w:val="16"/>
                <w:lang w:val="en-IE"/>
              </w:rPr>
              <w:t>82</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5</w:t>
            </w:r>
            <w:r>
              <w:rPr>
                <w:color w:val="000000"/>
                <w:sz w:val="16"/>
                <w:szCs w:val="16"/>
                <w:lang w:val="en-IE"/>
              </w:rPr>
              <w:t>3</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0.031</w:t>
            </w:r>
            <w:r w:rsidR="00551C2A" w:rsidRPr="00627272">
              <w:rPr>
                <w:color w:val="000000"/>
                <w:sz w:val="16"/>
                <w:szCs w:val="16"/>
                <w:lang w:val="en-IE"/>
              </w:rPr>
              <w:t>-</w:t>
            </w:r>
            <w:r>
              <w:rPr>
                <w:color w:val="000000"/>
                <w:sz w:val="16"/>
                <w:szCs w:val="16"/>
                <w:lang w:val="en-IE"/>
              </w:rPr>
              <w:t>0.065</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0.042</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BH15</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369-481</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425.7</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0.2-3.1</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1.31</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0.1-1.9</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0.68</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w:t>
            </w:r>
            <w:r w:rsidR="00551C2A" w:rsidRPr="00627272">
              <w:rPr>
                <w:color w:val="000000"/>
                <w:sz w:val="16"/>
                <w:szCs w:val="16"/>
                <w:lang w:val="en-IE"/>
              </w:rPr>
              <w:t>3</w:t>
            </w:r>
            <w:r>
              <w:rPr>
                <w:color w:val="000000"/>
                <w:sz w:val="16"/>
                <w:szCs w:val="16"/>
                <w:lang w:val="en-IE"/>
              </w:rPr>
              <w:t>1</w:t>
            </w:r>
            <w:r w:rsidR="00551C2A" w:rsidRPr="00627272">
              <w:rPr>
                <w:color w:val="000000"/>
                <w:sz w:val="16"/>
                <w:szCs w:val="16"/>
                <w:lang w:val="en-IE"/>
              </w:rPr>
              <w:t>-</w:t>
            </w:r>
            <w:r>
              <w:rPr>
                <w:color w:val="000000"/>
                <w:sz w:val="16"/>
                <w:szCs w:val="16"/>
                <w:lang w:val="en-IE"/>
              </w:rPr>
              <w:t>0.0</w:t>
            </w:r>
            <w:r w:rsidR="00551C2A" w:rsidRPr="00627272">
              <w:rPr>
                <w:color w:val="000000"/>
                <w:sz w:val="16"/>
                <w:szCs w:val="16"/>
                <w:lang w:val="en-IE"/>
              </w:rPr>
              <w:t>8</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5</w:t>
            </w:r>
            <w:r>
              <w:rPr>
                <w:color w:val="000000"/>
                <w:sz w:val="16"/>
                <w:szCs w:val="16"/>
                <w:lang w:val="en-IE"/>
              </w:rPr>
              <w:t>2</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29-</w:t>
            </w:r>
            <w:r>
              <w:rPr>
                <w:color w:val="000000"/>
                <w:sz w:val="16"/>
                <w:szCs w:val="16"/>
                <w:lang w:val="en-IE"/>
              </w:rPr>
              <w:t>0.058</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0.042</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BH16</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316-462</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376.0</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0.3-5.5</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2.96</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0.2-4.3</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2.15</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w:t>
            </w:r>
            <w:r w:rsidR="00551C2A" w:rsidRPr="00627272">
              <w:rPr>
                <w:color w:val="000000"/>
                <w:sz w:val="16"/>
                <w:szCs w:val="16"/>
                <w:lang w:val="en-IE"/>
              </w:rPr>
              <w:t>11-</w:t>
            </w:r>
            <w:r>
              <w:rPr>
                <w:color w:val="000000"/>
                <w:sz w:val="16"/>
                <w:szCs w:val="16"/>
                <w:lang w:val="en-IE"/>
              </w:rPr>
              <w:t>0.0</w:t>
            </w:r>
            <w:r w:rsidR="00551C2A" w:rsidRPr="00627272">
              <w:rPr>
                <w:color w:val="000000"/>
                <w:sz w:val="16"/>
                <w:szCs w:val="16"/>
                <w:lang w:val="en-IE"/>
              </w:rPr>
              <w:t>3</w:t>
            </w:r>
            <w:r>
              <w:rPr>
                <w:color w:val="000000"/>
                <w:sz w:val="16"/>
                <w:szCs w:val="16"/>
                <w:lang w:val="en-IE"/>
              </w:rPr>
              <w:t>9</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1</w:t>
            </w:r>
            <w:r>
              <w:rPr>
                <w:color w:val="000000"/>
                <w:sz w:val="16"/>
                <w:szCs w:val="16"/>
                <w:lang w:val="en-IE"/>
              </w:rPr>
              <w:t>9</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0.009</w:t>
            </w:r>
            <w:r w:rsidR="00551C2A" w:rsidRPr="00627272">
              <w:rPr>
                <w:color w:val="000000"/>
                <w:sz w:val="16"/>
                <w:szCs w:val="16"/>
                <w:lang w:val="en-IE"/>
              </w:rPr>
              <w:t>-</w:t>
            </w:r>
            <w:r>
              <w:rPr>
                <w:color w:val="000000"/>
                <w:sz w:val="16"/>
                <w:szCs w:val="16"/>
                <w:lang w:val="en-IE"/>
              </w:rPr>
              <w:t>0.034</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0.017</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vAlign w:val="bottom"/>
            <w:hideMark/>
          </w:tcPr>
          <w:p w:rsidR="00551C2A" w:rsidRPr="00627272" w:rsidRDefault="00551C2A" w:rsidP="00551C2A">
            <w:pPr>
              <w:rPr>
                <w:color w:val="000000"/>
                <w:sz w:val="16"/>
                <w:szCs w:val="16"/>
                <w:lang w:val="en-IE"/>
              </w:rPr>
            </w:pP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p>
        </w:tc>
        <w:tc>
          <w:tcPr>
            <w:tcW w:w="1134" w:type="dxa"/>
            <w:tcBorders>
              <w:top w:val="nil"/>
              <w:left w:val="single" w:sz="4" w:space="0" w:color="A6A6A6" w:themeColor="background1" w:themeShade="A6"/>
              <w:bottom w:val="nil"/>
            </w:tcBorders>
            <w:noWrap/>
            <w:vAlign w:val="bottom"/>
            <w:hideMark/>
          </w:tcPr>
          <w:p w:rsidR="00551C2A" w:rsidRPr="00627272" w:rsidRDefault="00551C2A" w:rsidP="00551C2A">
            <w:pPr>
              <w:jc w:val="center"/>
              <w:rPr>
                <w:color w:val="000000"/>
                <w:sz w:val="16"/>
                <w:szCs w:val="16"/>
                <w:lang w:val="en-IE"/>
              </w:rPr>
            </w:pPr>
          </w:p>
        </w:tc>
        <w:tc>
          <w:tcPr>
            <w:tcW w:w="709" w:type="dxa"/>
            <w:tcBorders>
              <w:top w:val="nil"/>
              <w:bottom w:val="nil"/>
              <w:right w:val="single" w:sz="4" w:space="0" w:color="A6A6A6" w:themeColor="background1" w:themeShade="A6"/>
            </w:tcBorders>
            <w:noWrap/>
            <w:vAlign w:val="bottom"/>
            <w:hideMark/>
          </w:tcPr>
          <w:p w:rsidR="00551C2A" w:rsidRPr="00627272" w:rsidRDefault="00551C2A" w:rsidP="00551C2A">
            <w:pPr>
              <w:jc w:val="center"/>
              <w:rPr>
                <w:color w:val="000000"/>
                <w:sz w:val="16"/>
                <w:szCs w:val="16"/>
                <w:lang w:val="en-IE"/>
              </w:rPr>
            </w:pPr>
          </w:p>
        </w:tc>
        <w:tc>
          <w:tcPr>
            <w:tcW w:w="1203" w:type="dxa"/>
            <w:tcBorders>
              <w:top w:val="nil"/>
              <w:left w:val="single" w:sz="4" w:space="0" w:color="A6A6A6" w:themeColor="background1" w:themeShade="A6"/>
              <w:bottom w:val="nil"/>
            </w:tcBorders>
            <w:vAlign w:val="bottom"/>
          </w:tcPr>
          <w:p w:rsidR="00551C2A" w:rsidRPr="00627272" w:rsidRDefault="00551C2A" w:rsidP="00551C2A">
            <w:pPr>
              <w:jc w:val="center"/>
              <w:rPr>
                <w:color w:val="000000"/>
                <w:sz w:val="16"/>
                <w:szCs w:val="16"/>
                <w:lang w:val="en-IE"/>
              </w:rPr>
            </w:pPr>
          </w:p>
        </w:tc>
        <w:tc>
          <w:tcPr>
            <w:tcW w:w="836" w:type="dxa"/>
            <w:tcBorders>
              <w:top w:val="nil"/>
              <w:bottom w:val="nil"/>
              <w:right w:val="single" w:sz="12" w:space="0" w:color="000000"/>
            </w:tcBorders>
          </w:tcPr>
          <w:p w:rsidR="00551C2A" w:rsidRPr="00627272" w:rsidRDefault="00551C2A" w:rsidP="00551C2A">
            <w:pPr>
              <w:spacing w:line="240" w:lineRule="auto"/>
              <w:jc w:val="center"/>
              <w:rPr>
                <w:color w:val="000000"/>
                <w:sz w:val="16"/>
                <w:szCs w:val="16"/>
                <w:lang w:val="en-IE"/>
              </w:rPr>
            </w:pPr>
          </w:p>
        </w:tc>
      </w:tr>
      <w:tr w:rsidR="00551C2A" w:rsidRPr="00627272" w:rsidTr="00A86CE0">
        <w:trPr>
          <w:trHeight w:val="300"/>
          <w:jc w:val="center"/>
        </w:trPr>
        <w:tc>
          <w:tcPr>
            <w:tcW w:w="1686" w:type="dxa"/>
            <w:gridSpan w:val="2"/>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b/>
                <w:color w:val="000000"/>
                <w:sz w:val="16"/>
                <w:szCs w:val="16"/>
                <w:lang w:val="en-IE"/>
              </w:rPr>
            </w:pPr>
            <w:r w:rsidRPr="00627272">
              <w:rPr>
                <w:b/>
                <w:color w:val="000000"/>
                <w:sz w:val="16"/>
                <w:szCs w:val="16"/>
                <w:lang w:val="en-IE"/>
              </w:rPr>
              <w:t>Kinvara</w:t>
            </w:r>
          </w:p>
        </w:tc>
        <w:tc>
          <w:tcPr>
            <w:tcW w:w="851" w:type="dxa"/>
            <w:tcBorders>
              <w:top w:val="nil"/>
              <w:bottom w:val="nil"/>
              <w:right w:val="nil"/>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96-347</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208.0</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0.4-3.6</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1.52</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0.1-3.7</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b/>
                <w:color w:val="000000"/>
                <w:sz w:val="16"/>
                <w:szCs w:val="16"/>
                <w:lang w:val="en-IE"/>
              </w:rPr>
            </w:pPr>
            <w:r w:rsidRPr="00627272">
              <w:rPr>
                <w:b/>
                <w:color w:val="000000"/>
                <w:sz w:val="16"/>
                <w:szCs w:val="16"/>
                <w:lang w:val="en-IE"/>
              </w:rPr>
              <w:t>0.89</w:t>
            </w:r>
          </w:p>
        </w:tc>
        <w:tc>
          <w:tcPr>
            <w:tcW w:w="1134" w:type="dxa"/>
            <w:tcBorders>
              <w:top w:val="nil"/>
              <w:left w:val="single" w:sz="4" w:space="0" w:color="A6A6A6" w:themeColor="background1" w:themeShade="A6"/>
              <w:bottom w:val="nil"/>
            </w:tcBorders>
            <w:noWrap/>
            <w:vAlign w:val="bottom"/>
            <w:hideMark/>
          </w:tcPr>
          <w:p w:rsidR="00551C2A" w:rsidRPr="00627272" w:rsidRDefault="00657FE8" w:rsidP="00657FE8">
            <w:pPr>
              <w:jc w:val="center"/>
              <w:rPr>
                <w:b/>
                <w:color w:val="000000"/>
                <w:sz w:val="16"/>
                <w:szCs w:val="16"/>
                <w:lang w:val="en-IE"/>
              </w:rPr>
            </w:pPr>
            <w:r>
              <w:rPr>
                <w:b/>
                <w:color w:val="000000"/>
                <w:sz w:val="16"/>
                <w:szCs w:val="16"/>
                <w:lang w:val="en-IE"/>
              </w:rPr>
              <w:t>0.00</w:t>
            </w:r>
            <w:r w:rsidR="00551C2A" w:rsidRPr="00627272">
              <w:rPr>
                <w:b/>
                <w:color w:val="000000"/>
                <w:sz w:val="16"/>
                <w:szCs w:val="16"/>
                <w:lang w:val="en-IE"/>
              </w:rPr>
              <w:t>9-</w:t>
            </w:r>
            <w:r>
              <w:rPr>
                <w:b/>
                <w:color w:val="000000"/>
                <w:sz w:val="16"/>
                <w:szCs w:val="16"/>
                <w:lang w:val="en-IE"/>
              </w:rPr>
              <w:t>0.0</w:t>
            </w:r>
            <w:r w:rsidR="00551C2A" w:rsidRPr="00627272">
              <w:rPr>
                <w:b/>
                <w:color w:val="000000"/>
                <w:sz w:val="16"/>
                <w:szCs w:val="16"/>
                <w:lang w:val="en-IE"/>
              </w:rPr>
              <w:t>3</w:t>
            </w:r>
            <w:r>
              <w:rPr>
                <w:b/>
                <w:color w:val="000000"/>
                <w:sz w:val="16"/>
                <w:szCs w:val="16"/>
                <w:lang w:val="en-IE"/>
              </w:rPr>
              <w:t>7</w:t>
            </w:r>
          </w:p>
        </w:tc>
        <w:tc>
          <w:tcPr>
            <w:tcW w:w="709" w:type="dxa"/>
            <w:tcBorders>
              <w:top w:val="nil"/>
              <w:bottom w:val="nil"/>
              <w:right w:val="single" w:sz="4" w:space="0" w:color="A6A6A6" w:themeColor="background1" w:themeShade="A6"/>
            </w:tcBorders>
            <w:noWrap/>
            <w:vAlign w:val="bottom"/>
            <w:hideMark/>
          </w:tcPr>
          <w:p w:rsidR="00551C2A" w:rsidRPr="00627272" w:rsidRDefault="00657FE8" w:rsidP="00551C2A">
            <w:pPr>
              <w:jc w:val="center"/>
              <w:rPr>
                <w:b/>
                <w:color w:val="000000"/>
                <w:sz w:val="16"/>
                <w:szCs w:val="16"/>
                <w:lang w:val="en-IE"/>
              </w:rPr>
            </w:pPr>
            <w:r>
              <w:rPr>
                <w:b/>
                <w:color w:val="000000"/>
                <w:sz w:val="16"/>
                <w:szCs w:val="16"/>
                <w:lang w:val="en-IE"/>
              </w:rPr>
              <w:t>0.0</w:t>
            </w:r>
            <w:r w:rsidR="00551C2A" w:rsidRPr="00627272">
              <w:rPr>
                <w:b/>
                <w:color w:val="000000"/>
                <w:sz w:val="16"/>
                <w:szCs w:val="16"/>
                <w:lang w:val="en-IE"/>
              </w:rPr>
              <w:t>2</w:t>
            </w:r>
            <w:r>
              <w:rPr>
                <w:b/>
                <w:color w:val="000000"/>
                <w:sz w:val="16"/>
                <w:szCs w:val="16"/>
                <w:lang w:val="en-IE"/>
              </w:rPr>
              <w:t>3</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b/>
                <w:color w:val="000000"/>
                <w:sz w:val="16"/>
                <w:szCs w:val="16"/>
                <w:lang w:val="en-IE"/>
              </w:rPr>
            </w:pPr>
            <w:r>
              <w:rPr>
                <w:b/>
                <w:color w:val="000000"/>
                <w:sz w:val="16"/>
                <w:szCs w:val="16"/>
                <w:lang w:val="en-IE"/>
              </w:rPr>
              <w:t>0.00</w:t>
            </w:r>
            <w:r w:rsidR="00551C2A" w:rsidRPr="00627272">
              <w:rPr>
                <w:b/>
                <w:color w:val="000000"/>
                <w:sz w:val="16"/>
                <w:szCs w:val="16"/>
                <w:lang w:val="en-IE"/>
              </w:rPr>
              <w:t>8.1-</w:t>
            </w:r>
            <w:r>
              <w:rPr>
                <w:b/>
                <w:color w:val="000000"/>
                <w:sz w:val="16"/>
                <w:szCs w:val="16"/>
                <w:lang w:val="en-IE"/>
              </w:rPr>
              <w:t>0.0</w:t>
            </w:r>
            <w:r w:rsidR="00551C2A" w:rsidRPr="00627272">
              <w:rPr>
                <w:b/>
                <w:color w:val="000000"/>
                <w:sz w:val="16"/>
                <w:szCs w:val="16"/>
                <w:lang w:val="en-IE"/>
              </w:rPr>
              <w:t>23</w:t>
            </w:r>
          </w:p>
        </w:tc>
        <w:tc>
          <w:tcPr>
            <w:tcW w:w="836" w:type="dxa"/>
            <w:tcBorders>
              <w:top w:val="nil"/>
              <w:bottom w:val="nil"/>
              <w:right w:val="single" w:sz="12" w:space="0" w:color="000000"/>
            </w:tcBorders>
            <w:vAlign w:val="bottom"/>
          </w:tcPr>
          <w:p w:rsidR="00551C2A" w:rsidRPr="00627272" w:rsidRDefault="00657FE8" w:rsidP="00551C2A">
            <w:pPr>
              <w:jc w:val="center"/>
              <w:rPr>
                <w:b/>
                <w:color w:val="000000"/>
                <w:sz w:val="16"/>
                <w:szCs w:val="16"/>
                <w:lang w:val="en-IE"/>
              </w:rPr>
            </w:pPr>
            <w:r>
              <w:rPr>
                <w:b/>
                <w:color w:val="000000"/>
                <w:sz w:val="16"/>
                <w:szCs w:val="16"/>
                <w:lang w:val="en-IE"/>
              </w:rPr>
              <w:t>0.017</w:t>
            </w:r>
          </w:p>
        </w:tc>
      </w:tr>
      <w:tr w:rsidR="00551C2A" w:rsidRPr="00627272" w:rsidTr="00A86CE0">
        <w:trPr>
          <w:trHeight w:val="300"/>
          <w:jc w:val="center"/>
        </w:trPr>
        <w:tc>
          <w:tcPr>
            <w:tcW w:w="410" w:type="dxa"/>
            <w:tcBorders>
              <w:top w:val="nil"/>
              <w:bottom w:val="nil"/>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nil"/>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KW</w:t>
            </w:r>
          </w:p>
        </w:tc>
        <w:tc>
          <w:tcPr>
            <w:tcW w:w="851" w:type="dxa"/>
            <w:tcBorders>
              <w:top w:val="nil"/>
              <w:bottom w:val="nil"/>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96-200</w:t>
            </w:r>
          </w:p>
        </w:tc>
        <w:tc>
          <w:tcPr>
            <w:tcW w:w="708" w:type="dxa"/>
            <w:tcBorders>
              <w:top w:val="nil"/>
              <w:left w:val="nil"/>
              <w:bottom w:val="nil"/>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155.6</w:t>
            </w:r>
          </w:p>
        </w:tc>
        <w:tc>
          <w:tcPr>
            <w:tcW w:w="993"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0.4-2.3</w:t>
            </w:r>
          </w:p>
        </w:tc>
        <w:tc>
          <w:tcPr>
            <w:tcW w:w="708"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1.05</w:t>
            </w:r>
          </w:p>
        </w:tc>
        <w:tc>
          <w:tcPr>
            <w:tcW w:w="850" w:type="dxa"/>
            <w:tcBorders>
              <w:top w:val="nil"/>
              <w:left w:val="single" w:sz="4" w:space="0" w:color="A6A6A6" w:themeColor="background1" w:themeShade="A6"/>
              <w:bottom w:val="nil"/>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0.1-2.5</w:t>
            </w:r>
          </w:p>
        </w:tc>
        <w:tc>
          <w:tcPr>
            <w:tcW w:w="851" w:type="dxa"/>
            <w:tcBorders>
              <w:top w:val="nil"/>
              <w:bottom w:val="nil"/>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0.66</w:t>
            </w:r>
          </w:p>
        </w:tc>
        <w:tc>
          <w:tcPr>
            <w:tcW w:w="1134" w:type="dxa"/>
            <w:tcBorders>
              <w:top w:val="nil"/>
              <w:left w:val="single" w:sz="4" w:space="0" w:color="A6A6A6" w:themeColor="background1" w:themeShade="A6"/>
              <w:bottom w:val="nil"/>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0.00</w:t>
            </w:r>
            <w:r w:rsidR="00551C2A" w:rsidRPr="00627272">
              <w:rPr>
                <w:color w:val="000000"/>
                <w:sz w:val="16"/>
                <w:szCs w:val="16"/>
                <w:lang w:val="en-IE"/>
              </w:rPr>
              <w:t>9-</w:t>
            </w:r>
            <w:r>
              <w:rPr>
                <w:color w:val="000000"/>
                <w:sz w:val="16"/>
                <w:szCs w:val="16"/>
                <w:lang w:val="en-IE"/>
              </w:rPr>
              <w:t>0.0</w:t>
            </w:r>
            <w:r w:rsidR="00551C2A" w:rsidRPr="00627272">
              <w:rPr>
                <w:color w:val="000000"/>
                <w:sz w:val="16"/>
                <w:szCs w:val="16"/>
                <w:lang w:val="en-IE"/>
              </w:rPr>
              <w:t>3</w:t>
            </w:r>
            <w:r>
              <w:rPr>
                <w:color w:val="000000"/>
                <w:sz w:val="16"/>
                <w:szCs w:val="16"/>
                <w:lang w:val="en-IE"/>
              </w:rPr>
              <w:t>3</w:t>
            </w:r>
          </w:p>
        </w:tc>
        <w:tc>
          <w:tcPr>
            <w:tcW w:w="709" w:type="dxa"/>
            <w:tcBorders>
              <w:top w:val="nil"/>
              <w:bottom w:val="nil"/>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2</w:t>
            </w:r>
            <w:r>
              <w:rPr>
                <w:color w:val="000000"/>
                <w:sz w:val="16"/>
                <w:szCs w:val="16"/>
                <w:lang w:val="en-IE"/>
              </w:rPr>
              <w:t>3</w:t>
            </w:r>
          </w:p>
        </w:tc>
        <w:tc>
          <w:tcPr>
            <w:tcW w:w="1203" w:type="dxa"/>
            <w:tcBorders>
              <w:top w:val="nil"/>
              <w:left w:val="single" w:sz="4" w:space="0" w:color="A6A6A6" w:themeColor="background1" w:themeShade="A6"/>
              <w:bottom w:val="nil"/>
            </w:tcBorders>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8.1-</w:t>
            </w:r>
            <w:r>
              <w:rPr>
                <w:color w:val="000000"/>
                <w:sz w:val="16"/>
                <w:szCs w:val="16"/>
                <w:lang w:val="en-IE"/>
              </w:rPr>
              <w:t>0.022</w:t>
            </w:r>
          </w:p>
        </w:tc>
        <w:tc>
          <w:tcPr>
            <w:tcW w:w="836" w:type="dxa"/>
            <w:tcBorders>
              <w:top w:val="nil"/>
              <w:bottom w:val="nil"/>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0.017</w:t>
            </w:r>
          </w:p>
        </w:tc>
      </w:tr>
      <w:tr w:rsidR="00551C2A" w:rsidRPr="00627272" w:rsidTr="00A86CE0">
        <w:trPr>
          <w:trHeight w:val="300"/>
          <w:jc w:val="center"/>
        </w:trPr>
        <w:tc>
          <w:tcPr>
            <w:tcW w:w="410" w:type="dxa"/>
            <w:tcBorders>
              <w:top w:val="nil"/>
              <w:bottom w:val="single" w:sz="12" w:space="0" w:color="000000"/>
            </w:tcBorders>
            <w:noWrap/>
            <w:hideMark/>
          </w:tcPr>
          <w:p w:rsidR="00551C2A" w:rsidRPr="00627272" w:rsidRDefault="00551C2A" w:rsidP="00551C2A">
            <w:pPr>
              <w:spacing w:line="240" w:lineRule="auto"/>
              <w:jc w:val="left"/>
              <w:rPr>
                <w:color w:val="000000"/>
                <w:sz w:val="16"/>
                <w:szCs w:val="16"/>
                <w:lang w:val="en-IE"/>
              </w:rPr>
            </w:pPr>
          </w:p>
        </w:tc>
        <w:tc>
          <w:tcPr>
            <w:tcW w:w="1276" w:type="dxa"/>
            <w:tcBorders>
              <w:top w:val="nil"/>
              <w:bottom w:val="single" w:sz="12" w:space="0" w:color="000000"/>
              <w:right w:val="single" w:sz="4" w:space="0" w:color="A6A6A6" w:themeColor="background1" w:themeShade="A6"/>
            </w:tcBorders>
            <w:noWrap/>
            <w:hideMark/>
          </w:tcPr>
          <w:p w:rsidR="00551C2A" w:rsidRPr="00627272" w:rsidRDefault="00551C2A" w:rsidP="00551C2A">
            <w:pPr>
              <w:spacing w:line="240" w:lineRule="auto"/>
              <w:jc w:val="left"/>
              <w:rPr>
                <w:color w:val="000000"/>
                <w:sz w:val="16"/>
                <w:szCs w:val="16"/>
                <w:lang w:val="en-IE"/>
              </w:rPr>
            </w:pPr>
            <w:r w:rsidRPr="00627272">
              <w:rPr>
                <w:color w:val="000000"/>
                <w:sz w:val="16"/>
                <w:szCs w:val="16"/>
                <w:lang w:val="en-IE"/>
              </w:rPr>
              <w:t>KE</w:t>
            </w:r>
          </w:p>
        </w:tc>
        <w:tc>
          <w:tcPr>
            <w:tcW w:w="851" w:type="dxa"/>
            <w:tcBorders>
              <w:top w:val="nil"/>
              <w:bottom w:val="single" w:sz="12" w:space="0" w:color="000000"/>
              <w:right w:val="nil"/>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150-347</w:t>
            </w:r>
          </w:p>
        </w:tc>
        <w:tc>
          <w:tcPr>
            <w:tcW w:w="708" w:type="dxa"/>
            <w:tcBorders>
              <w:top w:val="nil"/>
              <w:left w:val="nil"/>
              <w:bottom w:val="single" w:sz="12" w:space="0" w:color="000000"/>
              <w:right w:val="single" w:sz="4" w:space="0" w:color="A6A6A6" w:themeColor="background1" w:themeShade="A6"/>
            </w:tcBorders>
            <w:vAlign w:val="bottom"/>
          </w:tcPr>
          <w:p w:rsidR="00551C2A" w:rsidRPr="00627272" w:rsidRDefault="00551C2A" w:rsidP="00551C2A">
            <w:pPr>
              <w:jc w:val="center"/>
              <w:rPr>
                <w:color w:val="000000"/>
                <w:sz w:val="16"/>
                <w:szCs w:val="16"/>
                <w:lang w:val="en-IE"/>
              </w:rPr>
            </w:pPr>
            <w:r w:rsidRPr="00627272">
              <w:rPr>
                <w:color w:val="000000"/>
                <w:sz w:val="16"/>
                <w:szCs w:val="16"/>
                <w:lang w:val="en-IE"/>
              </w:rPr>
              <w:t>260.4</w:t>
            </w:r>
          </w:p>
        </w:tc>
        <w:tc>
          <w:tcPr>
            <w:tcW w:w="993" w:type="dxa"/>
            <w:tcBorders>
              <w:top w:val="nil"/>
              <w:left w:val="single" w:sz="4" w:space="0" w:color="A6A6A6" w:themeColor="background1" w:themeShade="A6"/>
              <w:bottom w:val="single" w:sz="12" w:space="0" w:color="000000"/>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0.6-3.6</w:t>
            </w:r>
          </w:p>
        </w:tc>
        <w:tc>
          <w:tcPr>
            <w:tcW w:w="708" w:type="dxa"/>
            <w:tcBorders>
              <w:top w:val="nil"/>
              <w:bottom w:val="single" w:sz="12" w:space="0" w:color="000000"/>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1.99</w:t>
            </w:r>
          </w:p>
        </w:tc>
        <w:tc>
          <w:tcPr>
            <w:tcW w:w="850" w:type="dxa"/>
            <w:tcBorders>
              <w:top w:val="nil"/>
              <w:left w:val="single" w:sz="4" w:space="0" w:color="A6A6A6" w:themeColor="background1" w:themeShade="A6"/>
              <w:bottom w:val="single" w:sz="12" w:space="0" w:color="000000"/>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0.1-3.7</w:t>
            </w:r>
          </w:p>
        </w:tc>
        <w:tc>
          <w:tcPr>
            <w:tcW w:w="851" w:type="dxa"/>
            <w:tcBorders>
              <w:top w:val="nil"/>
              <w:bottom w:val="single" w:sz="12" w:space="0" w:color="000000"/>
              <w:right w:val="single" w:sz="4" w:space="0" w:color="A6A6A6" w:themeColor="background1" w:themeShade="A6"/>
            </w:tcBorders>
            <w:noWrap/>
            <w:vAlign w:val="bottom"/>
          </w:tcPr>
          <w:p w:rsidR="00551C2A" w:rsidRPr="00627272" w:rsidRDefault="00551C2A" w:rsidP="00551C2A">
            <w:pPr>
              <w:jc w:val="center"/>
              <w:rPr>
                <w:color w:val="000000"/>
                <w:sz w:val="16"/>
                <w:szCs w:val="16"/>
                <w:lang w:val="en-IE"/>
              </w:rPr>
            </w:pPr>
            <w:r w:rsidRPr="00627272">
              <w:rPr>
                <w:color w:val="000000"/>
                <w:sz w:val="16"/>
                <w:szCs w:val="16"/>
                <w:lang w:val="en-IE"/>
              </w:rPr>
              <w:t>1.12</w:t>
            </w:r>
          </w:p>
        </w:tc>
        <w:tc>
          <w:tcPr>
            <w:tcW w:w="1134" w:type="dxa"/>
            <w:tcBorders>
              <w:top w:val="nil"/>
              <w:left w:val="single" w:sz="4" w:space="0" w:color="A6A6A6" w:themeColor="background1" w:themeShade="A6"/>
              <w:bottom w:val="single" w:sz="12" w:space="0" w:color="000000"/>
            </w:tcBorders>
            <w:noWrap/>
            <w:vAlign w:val="bottom"/>
          </w:tcPr>
          <w:p w:rsidR="00551C2A" w:rsidRPr="00627272" w:rsidRDefault="00657FE8" w:rsidP="00657FE8">
            <w:pPr>
              <w:jc w:val="center"/>
              <w:rPr>
                <w:color w:val="000000"/>
                <w:sz w:val="16"/>
                <w:szCs w:val="16"/>
                <w:lang w:val="en-IE"/>
              </w:rPr>
            </w:pPr>
            <w:r>
              <w:rPr>
                <w:color w:val="000000"/>
                <w:sz w:val="16"/>
                <w:szCs w:val="16"/>
                <w:lang w:val="en-IE"/>
              </w:rPr>
              <w:t>0.0</w:t>
            </w:r>
            <w:r w:rsidR="00551C2A" w:rsidRPr="00627272">
              <w:rPr>
                <w:color w:val="000000"/>
                <w:sz w:val="16"/>
                <w:szCs w:val="16"/>
                <w:lang w:val="en-IE"/>
              </w:rPr>
              <w:t>19-</w:t>
            </w:r>
            <w:r>
              <w:rPr>
                <w:color w:val="000000"/>
                <w:sz w:val="16"/>
                <w:szCs w:val="16"/>
                <w:lang w:val="en-IE"/>
              </w:rPr>
              <w:t>0.037</w:t>
            </w:r>
          </w:p>
        </w:tc>
        <w:tc>
          <w:tcPr>
            <w:tcW w:w="709" w:type="dxa"/>
            <w:tcBorders>
              <w:top w:val="nil"/>
              <w:bottom w:val="single" w:sz="12" w:space="0" w:color="000000"/>
              <w:right w:val="single" w:sz="4" w:space="0" w:color="A6A6A6" w:themeColor="background1" w:themeShade="A6"/>
            </w:tcBorders>
            <w:noWrap/>
            <w:vAlign w:val="bottom"/>
          </w:tcPr>
          <w:p w:rsidR="00551C2A" w:rsidRPr="00627272" w:rsidRDefault="00657FE8" w:rsidP="00551C2A">
            <w:pPr>
              <w:jc w:val="center"/>
              <w:rPr>
                <w:color w:val="000000"/>
                <w:sz w:val="16"/>
                <w:szCs w:val="16"/>
                <w:lang w:val="en-IE"/>
              </w:rPr>
            </w:pPr>
            <w:r>
              <w:rPr>
                <w:color w:val="000000"/>
                <w:sz w:val="16"/>
                <w:szCs w:val="16"/>
                <w:lang w:val="en-IE"/>
              </w:rPr>
              <w:t>0.0</w:t>
            </w:r>
            <w:r w:rsidR="00551C2A" w:rsidRPr="00627272">
              <w:rPr>
                <w:color w:val="000000"/>
                <w:sz w:val="16"/>
                <w:szCs w:val="16"/>
                <w:lang w:val="en-IE"/>
              </w:rPr>
              <w:t>2</w:t>
            </w:r>
            <w:r>
              <w:rPr>
                <w:color w:val="000000"/>
                <w:sz w:val="16"/>
                <w:szCs w:val="16"/>
                <w:lang w:val="en-IE"/>
              </w:rPr>
              <w:t>4</w:t>
            </w:r>
          </w:p>
        </w:tc>
        <w:tc>
          <w:tcPr>
            <w:tcW w:w="1203" w:type="dxa"/>
            <w:tcBorders>
              <w:top w:val="nil"/>
              <w:left w:val="single" w:sz="4" w:space="0" w:color="A6A6A6" w:themeColor="background1" w:themeShade="A6"/>
              <w:bottom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0.00</w:t>
            </w:r>
            <w:r w:rsidR="00551C2A" w:rsidRPr="00627272">
              <w:rPr>
                <w:color w:val="000000"/>
                <w:sz w:val="16"/>
                <w:szCs w:val="16"/>
                <w:lang w:val="en-IE"/>
              </w:rPr>
              <w:t>8.2-</w:t>
            </w:r>
            <w:r>
              <w:rPr>
                <w:color w:val="000000"/>
                <w:sz w:val="16"/>
                <w:szCs w:val="16"/>
                <w:lang w:val="en-IE"/>
              </w:rPr>
              <w:t>0.0</w:t>
            </w:r>
            <w:r w:rsidR="00551C2A" w:rsidRPr="00627272">
              <w:rPr>
                <w:color w:val="000000"/>
                <w:sz w:val="16"/>
                <w:szCs w:val="16"/>
                <w:lang w:val="en-IE"/>
              </w:rPr>
              <w:t>23</w:t>
            </w:r>
          </w:p>
        </w:tc>
        <w:tc>
          <w:tcPr>
            <w:tcW w:w="836" w:type="dxa"/>
            <w:tcBorders>
              <w:top w:val="nil"/>
              <w:bottom w:val="single" w:sz="12" w:space="0" w:color="000000"/>
              <w:right w:val="single" w:sz="12" w:space="0" w:color="000000"/>
            </w:tcBorders>
            <w:vAlign w:val="bottom"/>
          </w:tcPr>
          <w:p w:rsidR="00551C2A" w:rsidRPr="00627272" w:rsidRDefault="00657FE8" w:rsidP="00551C2A">
            <w:pPr>
              <w:jc w:val="center"/>
              <w:rPr>
                <w:color w:val="000000"/>
                <w:sz w:val="16"/>
                <w:szCs w:val="16"/>
                <w:lang w:val="en-IE"/>
              </w:rPr>
            </w:pPr>
            <w:r>
              <w:rPr>
                <w:color w:val="000000"/>
                <w:sz w:val="16"/>
                <w:szCs w:val="16"/>
                <w:lang w:val="en-IE"/>
              </w:rPr>
              <w:t>0.017</w:t>
            </w:r>
          </w:p>
        </w:tc>
      </w:tr>
    </w:tbl>
    <w:p w:rsidR="00CF1B7B" w:rsidRDefault="00551C2A" w:rsidP="00551C2A">
      <w:pPr>
        <w:spacing w:line="240" w:lineRule="auto"/>
        <w:jc w:val="left"/>
        <w:rPr>
          <w:rFonts w:eastAsiaTheme="minorEastAsia"/>
          <w:lang w:val="en-IE"/>
        </w:rPr>
      </w:pPr>
      <w:r>
        <w:rPr>
          <w:rFonts w:eastAsiaTheme="minorEastAsia"/>
          <w:lang w:val="en-IE"/>
        </w:rPr>
        <w:br w:type="page"/>
      </w:r>
    </w:p>
    <w:p w:rsidR="00551C2A" w:rsidRDefault="00C30A14" w:rsidP="00551C2A">
      <w:pPr>
        <w:keepNext/>
        <w:jc w:val="center"/>
      </w:pPr>
      <w:r>
        <w:rPr>
          <w:noProof/>
          <w:lang w:val="en-US"/>
        </w:rPr>
        <w:lastRenderedPageBreak/>
        <w:drawing>
          <wp:inline distT="0" distB="0" distL="0" distR="0">
            <wp:extent cx="5611495" cy="3970655"/>
            <wp:effectExtent l="0" t="0" r="825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_rev1.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11495" cy="3970655"/>
                    </a:xfrm>
                    <a:prstGeom prst="rect">
                      <a:avLst/>
                    </a:prstGeom>
                  </pic:spPr>
                </pic:pic>
              </a:graphicData>
            </a:graphic>
          </wp:inline>
        </w:drawing>
      </w:r>
    </w:p>
    <w:p w:rsidR="00551C2A" w:rsidRDefault="00551C2A" w:rsidP="00551C2A">
      <w:pPr>
        <w:pStyle w:val="Caption"/>
        <w:rPr>
          <w:lang w:val="en-IE"/>
        </w:rPr>
      </w:pPr>
      <w:bookmarkStart w:id="55" w:name="_Ref385497073"/>
      <w:bookmarkStart w:id="56" w:name="_Ref385497068"/>
      <w:r>
        <w:t xml:space="preserve">Figure </w:t>
      </w:r>
      <w:r>
        <w:fldChar w:fldCharType="begin"/>
      </w:r>
      <w:r>
        <w:instrText xml:space="preserve"> SEQ Figure \* ARABIC </w:instrText>
      </w:r>
      <w:r>
        <w:fldChar w:fldCharType="separate"/>
      </w:r>
      <w:r w:rsidR="00E40475">
        <w:rPr>
          <w:noProof/>
        </w:rPr>
        <w:t>1</w:t>
      </w:r>
      <w:r>
        <w:fldChar w:fldCharType="end"/>
      </w:r>
      <w:bookmarkEnd w:id="55"/>
      <w:r>
        <w:t xml:space="preserve">: </w:t>
      </w:r>
      <w:bookmarkEnd w:id="56"/>
      <w:r w:rsidRPr="004D506E">
        <w:rPr>
          <w:lang w:val="en-IE"/>
        </w:rPr>
        <w:t xml:space="preserve">Geology of study area displaying turloughs, </w:t>
      </w:r>
      <w:proofErr w:type="spellStart"/>
      <w:r w:rsidRPr="004D506E">
        <w:rPr>
          <w:lang w:val="en-IE"/>
        </w:rPr>
        <w:t>raingauges</w:t>
      </w:r>
      <w:proofErr w:type="spellEnd"/>
      <w:r w:rsidRPr="004D506E">
        <w:rPr>
          <w:lang w:val="en-IE"/>
        </w:rPr>
        <w:t>, Kinvara</w:t>
      </w:r>
      <w:r>
        <w:rPr>
          <w:lang w:val="en-IE"/>
        </w:rPr>
        <w:t>,</w:t>
      </w:r>
      <w:r w:rsidRPr="004D506E">
        <w:rPr>
          <w:lang w:val="en-IE"/>
        </w:rPr>
        <w:t xml:space="preserve"> river gauging stations</w:t>
      </w:r>
      <w:r w:rsidR="00C30A14">
        <w:rPr>
          <w:lang w:val="en-IE"/>
        </w:rPr>
        <w:t xml:space="preserve">, </w:t>
      </w:r>
      <w:r>
        <w:rPr>
          <w:lang w:val="en-IE"/>
        </w:rPr>
        <w:t>the direct</w:t>
      </w:r>
      <w:r w:rsidR="00C30A14">
        <w:rPr>
          <w:lang w:val="en-IE"/>
        </w:rPr>
        <w:t xml:space="preserve">ion of underground conduit flow and the Kinvara springs catchment.  </w:t>
      </w:r>
      <w:r>
        <w:rPr>
          <w:lang w:val="en-IE"/>
        </w:rPr>
        <w:t xml:space="preserve"> </w:t>
      </w:r>
    </w:p>
    <w:p w:rsidR="00551C2A" w:rsidRPr="00551C2A" w:rsidRDefault="00551C2A" w:rsidP="00551C2A">
      <w:pPr>
        <w:spacing w:line="240" w:lineRule="auto"/>
        <w:jc w:val="left"/>
        <w:rPr>
          <w:rFonts w:eastAsiaTheme="minorEastAsia"/>
          <w:lang w:val="en-IE"/>
        </w:rPr>
      </w:pPr>
      <w:r>
        <w:rPr>
          <w:rFonts w:eastAsiaTheme="minorEastAsia"/>
          <w:lang w:val="en-IE"/>
        </w:rPr>
        <w:br w:type="page"/>
      </w:r>
    </w:p>
    <w:tbl>
      <w:tblPr>
        <w:tblStyle w:val="TableGrid"/>
        <w:tblW w:w="932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86"/>
        <w:gridCol w:w="3066"/>
        <w:gridCol w:w="3069"/>
      </w:tblGrid>
      <w:tr w:rsidR="00551C2A" w:rsidRPr="00627272" w:rsidTr="00551C2A">
        <w:trPr>
          <w:jc w:val="center"/>
        </w:trPr>
        <w:tc>
          <w:tcPr>
            <w:tcW w:w="3107" w:type="dxa"/>
            <w:vAlign w:val="center"/>
          </w:tcPr>
          <w:p w:rsidR="00551C2A" w:rsidRPr="00627272" w:rsidRDefault="00551C2A" w:rsidP="00551C2A">
            <w:pPr>
              <w:jc w:val="center"/>
              <w:rPr>
                <w:lang w:val="en-IE"/>
              </w:rPr>
            </w:pPr>
            <w:r w:rsidRPr="00627272">
              <w:rPr>
                <w:b/>
                <w:noProof/>
                <w:sz w:val="18"/>
                <w:lang w:val="en-IE"/>
              </w:rPr>
              <w:lastRenderedPageBreak/>
              <w:t>Diffuse flow-through</w:t>
            </w:r>
          </w:p>
        </w:tc>
        <w:tc>
          <w:tcPr>
            <w:tcW w:w="3107" w:type="dxa"/>
            <w:vAlign w:val="center"/>
          </w:tcPr>
          <w:p w:rsidR="00551C2A" w:rsidRPr="00627272" w:rsidRDefault="00551C2A" w:rsidP="00551C2A">
            <w:pPr>
              <w:jc w:val="center"/>
              <w:rPr>
                <w:b/>
                <w:lang w:val="en-IE"/>
              </w:rPr>
            </w:pPr>
            <w:r w:rsidRPr="00627272">
              <w:rPr>
                <w:b/>
                <w:noProof/>
                <w:sz w:val="18"/>
                <w:lang w:val="en-IE"/>
              </w:rPr>
              <w:t>River flow-</w:t>
            </w:r>
            <w:r>
              <w:rPr>
                <w:b/>
                <w:noProof/>
                <w:sz w:val="18"/>
                <w:lang w:val="en-IE"/>
              </w:rPr>
              <w:t>t</w:t>
            </w:r>
            <w:r w:rsidRPr="00627272">
              <w:rPr>
                <w:b/>
                <w:noProof/>
                <w:sz w:val="18"/>
                <w:lang w:val="en-IE"/>
              </w:rPr>
              <w:t>hrough</w:t>
            </w:r>
          </w:p>
        </w:tc>
        <w:tc>
          <w:tcPr>
            <w:tcW w:w="3107" w:type="dxa"/>
            <w:vAlign w:val="center"/>
          </w:tcPr>
          <w:p w:rsidR="00551C2A" w:rsidRPr="00627272" w:rsidRDefault="00551C2A" w:rsidP="00551C2A">
            <w:pPr>
              <w:keepNext/>
              <w:jc w:val="center"/>
              <w:rPr>
                <w:b/>
                <w:lang w:val="en-IE"/>
              </w:rPr>
            </w:pPr>
            <w:r w:rsidRPr="00627272">
              <w:rPr>
                <w:b/>
                <w:noProof/>
                <w:sz w:val="18"/>
                <w:lang w:val="en-IE"/>
              </w:rPr>
              <w:t>Surcharge tank</w:t>
            </w:r>
          </w:p>
        </w:tc>
      </w:tr>
      <w:tr w:rsidR="00551C2A" w:rsidRPr="00627272" w:rsidTr="00551C2A">
        <w:trPr>
          <w:jc w:val="center"/>
        </w:trPr>
        <w:tc>
          <w:tcPr>
            <w:tcW w:w="3107" w:type="dxa"/>
            <w:vAlign w:val="bottom"/>
          </w:tcPr>
          <w:p w:rsidR="00551C2A" w:rsidRDefault="00551C2A" w:rsidP="00551C2A">
            <w:pPr>
              <w:jc w:val="center"/>
              <w:rPr>
                <w:lang w:val="en-IE"/>
              </w:rPr>
            </w:pPr>
            <w:r>
              <w:rPr>
                <w:noProof/>
                <w:lang w:val="en-US"/>
              </w:rPr>
              <w:drawing>
                <wp:inline distT="0" distB="0" distL="0" distR="0" wp14:anchorId="2DE71C8A" wp14:editId="163EB480">
                  <wp:extent cx="1885098" cy="955344"/>
                  <wp:effectExtent l="0" t="0" r="127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a:extLst>
                              <a:ext uri="{28A0092B-C50C-407E-A947-70E740481C1C}">
                                <a14:useLocalDpi xmlns:a14="http://schemas.microsoft.com/office/drawing/2010/main" val="0"/>
                              </a:ext>
                            </a:extLst>
                          </a:blip>
                          <a:srcRect t="1" b="-28521"/>
                          <a:stretch/>
                        </pic:blipFill>
                        <pic:spPr bwMode="auto">
                          <a:xfrm>
                            <a:off x="0" y="0"/>
                            <a:ext cx="1885098" cy="955344"/>
                          </a:xfrm>
                          <a:prstGeom prst="rect">
                            <a:avLst/>
                          </a:prstGeom>
                          <a:noFill/>
                          <a:ln>
                            <a:noFill/>
                          </a:ln>
                          <a:extLst>
                            <a:ext uri="{53640926-AAD7-44D8-BBD7-CCE9431645EC}">
                              <a14:shadowObscured xmlns:a14="http://schemas.microsoft.com/office/drawing/2010/main"/>
                            </a:ext>
                          </a:extLst>
                        </pic:spPr>
                      </pic:pic>
                    </a:graphicData>
                  </a:graphic>
                </wp:inline>
              </w:drawing>
            </w:r>
          </w:p>
          <w:p w:rsidR="00551C2A" w:rsidRPr="00627272" w:rsidRDefault="00551C2A" w:rsidP="00551C2A">
            <w:pPr>
              <w:jc w:val="center"/>
              <w:rPr>
                <w:lang w:val="en-IE"/>
              </w:rPr>
            </w:pPr>
            <w:r>
              <w:rPr>
                <w:lang w:val="en-IE"/>
              </w:rPr>
              <w:t>(a)</w:t>
            </w:r>
          </w:p>
        </w:tc>
        <w:tc>
          <w:tcPr>
            <w:tcW w:w="3107" w:type="dxa"/>
            <w:vAlign w:val="bottom"/>
          </w:tcPr>
          <w:p w:rsidR="00551C2A" w:rsidRDefault="00551C2A" w:rsidP="00551C2A">
            <w:pPr>
              <w:jc w:val="center"/>
              <w:rPr>
                <w:lang w:val="en-IE"/>
              </w:rPr>
            </w:pPr>
            <w:r>
              <w:rPr>
                <w:noProof/>
                <w:lang w:val="en-US"/>
              </w:rPr>
              <w:drawing>
                <wp:inline distT="0" distB="0" distL="0" distR="0" wp14:anchorId="7E9F4838" wp14:editId="3FA2959D">
                  <wp:extent cx="1603121" cy="105087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0">
                            <a:extLst>
                              <a:ext uri="{28A0092B-C50C-407E-A947-70E740481C1C}">
                                <a14:useLocalDpi xmlns:a14="http://schemas.microsoft.com/office/drawing/2010/main" val="0"/>
                              </a:ext>
                            </a:extLst>
                          </a:blip>
                          <a:srcRect b="-21913"/>
                          <a:stretch/>
                        </pic:blipFill>
                        <pic:spPr bwMode="auto">
                          <a:xfrm>
                            <a:off x="0" y="0"/>
                            <a:ext cx="1620000" cy="1061942"/>
                          </a:xfrm>
                          <a:prstGeom prst="rect">
                            <a:avLst/>
                          </a:prstGeom>
                          <a:noFill/>
                          <a:ln>
                            <a:noFill/>
                          </a:ln>
                          <a:extLst>
                            <a:ext uri="{53640926-AAD7-44D8-BBD7-CCE9431645EC}">
                              <a14:shadowObscured xmlns:a14="http://schemas.microsoft.com/office/drawing/2010/main"/>
                            </a:ext>
                          </a:extLst>
                        </pic:spPr>
                      </pic:pic>
                    </a:graphicData>
                  </a:graphic>
                </wp:inline>
              </w:drawing>
            </w:r>
          </w:p>
          <w:p w:rsidR="00551C2A" w:rsidRPr="00627272" w:rsidRDefault="00551C2A" w:rsidP="00551C2A">
            <w:pPr>
              <w:jc w:val="center"/>
              <w:rPr>
                <w:lang w:val="en-IE"/>
              </w:rPr>
            </w:pPr>
            <w:r>
              <w:rPr>
                <w:lang w:val="en-IE"/>
              </w:rPr>
              <w:t>(b)</w:t>
            </w:r>
          </w:p>
        </w:tc>
        <w:tc>
          <w:tcPr>
            <w:tcW w:w="3107" w:type="dxa"/>
            <w:vAlign w:val="bottom"/>
          </w:tcPr>
          <w:p w:rsidR="00551C2A" w:rsidRDefault="00551C2A" w:rsidP="00551C2A">
            <w:pPr>
              <w:keepNext/>
              <w:jc w:val="center"/>
              <w:rPr>
                <w:lang w:val="en-IE"/>
              </w:rPr>
            </w:pPr>
            <w:r>
              <w:rPr>
                <w:noProof/>
                <w:lang w:val="en-US"/>
              </w:rPr>
              <w:drawing>
                <wp:inline distT="0" distB="0" distL="0" distR="0" wp14:anchorId="5B5278E2" wp14:editId="05F44F92">
                  <wp:extent cx="1617259" cy="900753"/>
                  <wp:effectExtent l="0" t="0" r="2540" b="0"/>
                  <wp:docPr id="1120" name="Picture 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a:extLst>
                              <a:ext uri="{28A0092B-C50C-407E-A947-70E740481C1C}">
                                <a14:useLocalDpi xmlns:a14="http://schemas.microsoft.com/office/drawing/2010/main" val="0"/>
                              </a:ext>
                            </a:extLst>
                          </a:blip>
                          <a:srcRect t="-16832" b="-2033"/>
                          <a:stretch/>
                        </pic:blipFill>
                        <pic:spPr bwMode="auto">
                          <a:xfrm>
                            <a:off x="0" y="0"/>
                            <a:ext cx="1620982" cy="902826"/>
                          </a:xfrm>
                          <a:prstGeom prst="rect">
                            <a:avLst/>
                          </a:prstGeom>
                          <a:noFill/>
                          <a:ln>
                            <a:noFill/>
                          </a:ln>
                          <a:extLst>
                            <a:ext uri="{53640926-AAD7-44D8-BBD7-CCE9431645EC}">
                              <a14:shadowObscured xmlns:a14="http://schemas.microsoft.com/office/drawing/2010/main"/>
                            </a:ext>
                          </a:extLst>
                        </pic:spPr>
                      </pic:pic>
                    </a:graphicData>
                  </a:graphic>
                </wp:inline>
              </w:drawing>
            </w:r>
          </w:p>
          <w:p w:rsidR="00551C2A" w:rsidRPr="00627272" w:rsidRDefault="00551C2A" w:rsidP="00551C2A">
            <w:pPr>
              <w:keepNext/>
              <w:spacing w:before="240"/>
              <w:jc w:val="center"/>
              <w:rPr>
                <w:lang w:val="en-IE"/>
              </w:rPr>
            </w:pPr>
            <w:r>
              <w:rPr>
                <w:lang w:val="en-IE"/>
              </w:rPr>
              <w:t>(c)</w:t>
            </w:r>
          </w:p>
        </w:tc>
      </w:tr>
    </w:tbl>
    <w:p w:rsidR="00551C2A" w:rsidRPr="00627272" w:rsidRDefault="00551C2A" w:rsidP="00551C2A">
      <w:pPr>
        <w:pStyle w:val="Caption"/>
        <w:rPr>
          <w:lang w:val="en-IE"/>
        </w:rPr>
      </w:pPr>
      <w:bookmarkStart w:id="57" w:name="_Ref380426820"/>
      <w:bookmarkStart w:id="58" w:name="_Toc384141011"/>
      <w:r w:rsidRPr="00627272">
        <w:rPr>
          <w:lang w:val="en-IE"/>
        </w:rPr>
        <w:t xml:space="preserve">Figure </w:t>
      </w:r>
      <w:r>
        <w:rPr>
          <w:lang w:val="en-IE"/>
        </w:rPr>
        <w:fldChar w:fldCharType="begin"/>
      </w:r>
      <w:r>
        <w:rPr>
          <w:lang w:val="en-IE"/>
        </w:rPr>
        <w:instrText xml:space="preserve"> SEQ Figure \* ARABIC </w:instrText>
      </w:r>
      <w:r>
        <w:rPr>
          <w:lang w:val="en-IE"/>
        </w:rPr>
        <w:fldChar w:fldCharType="separate"/>
      </w:r>
      <w:r w:rsidR="00E40475">
        <w:rPr>
          <w:noProof/>
          <w:lang w:val="en-IE"/>
        </w:rPr>
        <w:t>2</w:t>
      </w:r>
      <w:r>
        <w:rPr>
          <w:lang w:val="en-IE"/>
        </w:rPr>
        <w:fldChar w:fldCharType="end"/>
      </w:r>
      <w:bookmarkEnd w:id="57"/>
      <w:r w:rsidRPr="00627272">
        <w:rPr>
          <w:lang w:val="en-IE"/>
        </w:rPr>
        <w:t>: Conceptualisation of diffuse flow-through, river flow-through and surcharge tank turlough systems</w:t>
      </w:r>
      <w:r>
        <w:rPr>
          <w:lang w:val="en-IE"/>
        </w:rPr>
        <w:t xml:space="preserve"> (modified from </w:t>
      </w:r>
      <w:hyperlink w:anchor="_ENREF_16" w:tooltip="Gill, 2013 #412" w:history="1">
        <w:r w:rsidR="006B35EC">
          <w:rPr>
            <w:lang w:val="en-IE"/>
          </w:rPr>
          <w:fldChar w:fldCharType="begin"/>
        </w:r>
        <w:r w:rsidR="006B35EC">
          <w:rPr>
            <w:lang w:val="en-IE"/>
          </w:rPr>
          <w:instrText xml:space="preserve"> ADDIN EN.CITE &lt;EndNote&gt;&lt;Cite AuthorYear="1"&gt;&lt;Author&gt;Gill&lt;/Author&gt;&lt;Year&gt;2013&lt;/Year&gt;&lt;RecNum&gt;412&lt;/RecNum&gt;&lt;DisplayText&gt;Gill et al. (2013a)&lt;/DisplayText&gt;&lt;record&gt;&lt;rec-number&gt;412&lt;/rec-number&gt;&lt;foreign-keys&gt;&lt;key app="EN" db-id="dswvr2vdivtsvfepswzvft9gtsxe5zxfaavp" timestamp="1369822045"&gt;412&lt;/key&gt;&lt;/foreign-keys&gt;&lt;ref-type name="Journal Article"&gt;17&lt;/ref-type&gt;&lt;contributors&gt;&lt;authors&gt;&lt;author&gt;Gill, L.W.&lt;/author&gt;&lt;author&gt;Naughton, O.&lt;/author&gt;&lt;author&gt;Johnston, P.&lt;/author&gt;&lt;/authors&gt;&lt;/contributors&gt;&lt;titles&gt;&lt;title&gt;Modelling a network of turloughs in lowland karst&lt;/title&gt;&lt;secondary-title&gt;Water Resources Research&lt;/secondary-title&gt;&lt;/titles&gt;&lt;periodical&gt;&lt;full-title&gt;Water Resources Research&lt;/full-title&gt;&lt;/periodical&gt;&lt;pages&gt;3487-3503&lt;/pages&gt;&lt;volume&gt;49&lt;/volume&gt;&lt;number&gt;6&lt;/number&gt;&lt;dates&gt;&lt;year&gt;2013&lt;/year&gt;&lt;/dates&gt;&lt;urls&gt;&lt;/urls&gt;&lt;/record&gt;&lt;/Cite&gt;&lt;/EndNote&gt;</w:instrText>
        </w:r>
        <w:r w:rsidR="006B35EC">
          <w:rPr>
            <w:lang w:val="en-IE"/>
          </w:rPr>
          <w:fldChar w:fldCharType="separate"/>
        </w:r>
        <w:r w:rsidR="006B35EC">
          <w:rPr>
            <w:noProof/>
            <w:lang w:val="en-IE"/>
          </w:rPr>
          <w:t>Gill et al. (2013a)</w:t>
        </w:r>
        <w:r w:rsidR="006B35EC">
          <w:rPr>
            <w:lang w:val="en-IE"/>
          </w:rPr>
          <w:fldChar w:fldCharType="end"/>
        </w:r>
      </w:hyperlink>
      <w:r>
        <w:rPr>
          <w:lang w:val="en-IE"/>
        </w:rPr>
        <w:t>)</w:t>
      </w:r>
      <w:r w:rsidRPr="00627272">
        <w:rPr>
          <w:lang w:val="en-IE"/>
        </w:rPr>
        <w:t>.</w:t>
      </w:r>
      <w:bookmarkEnd w:id="58"/>
    </w:p>
    <w:p w:rsidR="00551C2A" w:rsidRDefault="00551C2A">
      <w:pPr>
        <w:spacing w:line="240" w:lineRule="auto"/>
        <w:jc w:val="left"/>
        <w:rPr>
          <w:rFonts w:eastAsiaTheme="minorEastAsia"/>
          <w:lang w:val="en-IE"/>
        </w:rPr>
      </w:pPr>
      <w:r>
        <w:rPr>
          <w:rFonts w:eastAsiaTheme="minorEastAsia"/>
          <w:lang w:val="en-IE"/>
        </w:rPr>
        <w:br w:type="page"/>
      </w:r>
    </w:p>
    <w:p w:rsidR="00551C2A" w:rsidRDefault="0091304E" w:rsidP="00551C2A">
      <w:pPr>
        <w:keepNext/>
        <w:jc w:val="center"/>
      </w:pPr>
      <w:r>
        <w:rPr>
          <w:noProof/>
          <w:lang w:val="en-US"/>
        </w:rPr>
        <w:lastRenderedPageBreak/>
        <w:drawing>
          <wp:inline distT="0" distB="0" distL="0" distR="0">
            <wp:extent cx="5611495" cy="6216650"/>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3_rev2.t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611495" cy="6216650"/>
                    </a:xfrm>
                    <a:prstGeom prst="rect">
                      <a:avLst/>
                    </a:prstGeom>
                  </pic:spPr>
                </pic:pic>
              </a:graphicData>
            </a:graphic>
          </wp:inline>
        </w:drawing>
      </w:r>
    </w:p>
    <w:p w:rsidR="00551C2A" w:rsidRPr="00E824EE" w:rsidRDefault="00551C2A" w:rsidP="00E824EE">
      <w:pPr>
        <w:pStyle w:val="Caption"/>
      </w:pPr>
      <w:bookmarkStart w:id="59" w:name="_Ref385517867"/>
      <w:r>
        <w:t xml:space="preserve">Figure </w:t>
      </w:r>
      <w:r>
        <w:fldChar w:fldCharType="begin"/>
      </w:r>
      <w:r>
        <w:instrText xml:space="preserve"> SEQ Figure \* ARABIC </w:instrText>
      </w:r>
      <w:r>
        <w:fldChar w:fldCharType="separate"/>
      </w:r>
      <w:r w:rsidR="00E40475">
        <w:rPr>
          <w:noProof/>
        </w:rPr>
        <w:t>3</w:t>
      </w:r>
      <w:r>
        <w:fldChar w:fldCharType="end"/>
      </w:r>
      <w:bookmarkEnd w:id="59"/>
      <w:r>
        <w:t xml:space="preserve">: </w:t>
      </w:r>
      <w:r w:rsidR="00C30A14">
        <w:t>Pipe network model schematic and s</w:t>
      </w:r>
      <w:r>
        <w:t xml:space="preserve">ampling locations of turloughs, rivers and boreholes. </w:t>
      </w:r>
      <w:r w:rsidR="0091304E">
        <w:t xml:space="preserve">Note: The additional ‘U’ and ‘L’ labels on the river names refer to upper and lower sampling locations. </w:t>
      </w:r>
      <w:r>
        <w:rPr>
          <w:rFonts w:eastAsiaTheme="minorEastAsia"/>
          <w:lang w:val="en-IE"/>
        </w:rPr>
        <w:br w:type="page"/>
      </w:r>
    </w:p>
    <w:tbl>
      <w:tblPr>
        <w:tblStyle w:val="TableGrid"/>
        <w:tblW w:w="997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6"/>
        <w:gridCol w:w="4986"/>
      </w:tblGrid>
      <w:tr w:rsidR="00551C2A" w:rsidTr="00551C2A">
        <w:trPr>
          <w:jc w:val="center"/>
        </w:trPr>
        <w:tc>
          <w:tcPr>
            <w:tcW w:w="4986" w:type="dxa"/>
          </w:tcPr>
          <w:p w:rsidR="00551C2A" w:rsidRDefault="009D5D86" w:rsidP="00551C2A">
            <w:pPr>
              <w:rPr>
                <w:lang w:val="en-IE"/>
              </w:rPr>
            </w:pPr>
            <w:r>
              <w:rPr>
                <w:noProof/>
                <w:lang w:val="en-US"/>
              </w:rPr>
              <w:lastRenderedPageBreak/>
              <w:drawing>
                <wp:inline distT="0" distB="0" distL="0" distR="0">
                  <wp:extent cx="3024000" cy="1680532"/>
                  <wp:effectExtent l="0" t="0" r="5080" b="0"/>
                  <wp:docPr id="1140" name="Picture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a.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24000" cy="1680532"/>
                          </a:xfrm>
                          <a:prstGeom prst="rect">
                            <a:avLst/>
                          </a:prstGeom>
                        </pic:spPr>
                      </pic:pic>
                    </a:graphicData>
                  </a:graphic>
                </wp:inline>
              </w:drawing>
            </w:r>
          </w:p>
        </w:tc>
        <w:tc>
          <w:tcPr>
            <w:tcW w:w="4986" w:type="dxa"/>
          </w:tcPr>
          <w:p w:rsidR="00551C2A" w:rsidRDefault="009D5D86" w:rsidP="00551C2A">
            <w:pPr>
              <w:rPr>
                <w:lang w:val="en-IE"/>
              </w:rPr>
            </w:pPr>
            <w:r>
              <w:rPr>
                <w:noProof/>
                <w:lang w:val="en-US"/>
              </w:rPr>
              <w:drawing>
                <wp:inline distT="0" distB="0" distL="0" distR="0">
                  <wp:extent cx="3024000" cy="1676426"/>
                  <wp:effectExtent l="0" t="0" r="5080" b="0"/>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b.t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24000" cy="1676426"/>
                          </a:xfrm>
                          <a:prstGeom prst="rect">
                            <a:avLst/>
                          </a:prstGeom>
                        </pic:spPr>
                      </pic:pic>
                    </a:graphicData>
                  </a:graphic>
                </wp:inline>
              </w:drawing>
            </w:r>
          </w:p>
        </w:tc>
      </w:tr>
      <w:tr w:rsidR="00551C2A" w:rsidTr="00551C2A">
        <w:trPr>
          <w:jc w:val="center"/>
        </w:trPr>
        <w:tc>
          <w:tcPr>
            <w:tcW w:w="4986" w:type="dxa"/>
          </w:tcPr>
          <w:p w:rsidR="00551C2A" w:rsidRDefault="009D5D86" w:rsidP="00551C2A">
            <w:pPr>
              <w:rPr>
                <w:lang w:val="en-IE"/>
              </w:rPr>
            </w:pPr>
            <w:r>
              <w:rPr>
                <w:noProof/>
                <w:lang w:val="en-US"/>
              </w:rPr>
              <w:drawing>
                <wp:inline distT="0" distB="0" distL="0" distR="0">
                  <wp:extent cx="3024000" cy="1680532"/>
                  <wp:effectExtent l="0" t="0" r="5080" b="0"/>
                  <wp:docPr id="1142" name="Picture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c.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24000" cy="1680532"/>
                          </a:xfrm>
                          <a:prstGeom prst="rect">
                            <a:avLst/>
                          </a:prstGeom>
                        </pic:spPr>
                      </pic:pic>
                    </a:graphicData>
                  </a:graphic>
                </wp:inline>
              </w:drawing>
            </w:r>
          </w:p>
        </w:tc>
        <w:tc>
          <w:tcPr>
            <w:tcW w:w="4986" w:type="dxa"/>
          </w:tcPr>
          <w:p w:rsidR="00551C2A" w:rsidRDefault="009D5D86" w:rsidP="00551C2A">
            <w:pPr>
              <w:rPr>
                <w:lang w:val="en-IE"/>
              </w:rPr>
            </w:pPr>
            <w:r>
              <w:rPr>
                <w:noProof/>
                <w:lang w:val="en-US"/>
              </w:rPr>
              <w:drawing>
                <wp:inline distT="0" distB="0" distL="0" distR="0">
                  <wp:extent cx="3024000" cy="1674715"/>
                  <wp:effectExtent l="0" t="0" r="5080" b="1905"/>
                  <wp:docPr id="1143" name="Picture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d.tif"/>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24000" cy="1674715"/>
                          </a:xfrm>
                          <a:prstGeom prst="rect">
                            <a:avLst/>
                          </a:prstGeom>
                        </pic:spPr>
                      </pic:pic>
                    </a:graphicData>
                  </a:graphic>
                </wp:inline>
              </w:drawing>
            </w:r>
          </w:p>
        </w:tc>
      </w:tr>
      <w:tr w:rsidR="00551C2A" w:rsidTr="00551C2A">
        <w:trPr>
          <w:jc w:val="center"/>
        </w:trPr>
        <w:tc>
          <w:tcPr>
            <w:tcW w:w="4986" w:type="dxa"/>
          </w:tcPr>
          <w:p w:rsidR="00551C2A" w:rsidRDefault="009D5D86" w:rsidP="00551C2A">
            <w:pPr>
              <w:rPr>
                <w:lang w:val="en-IE"/>
              </w:rPr>
            </w:pPr>
            <w:r>
              <w:rPr>
                <w:noProof/>
                <w:lang w:val="en-US"/>
              </w:rPr>
              <w:drawing>
                <wp:inline distT="0" distB="0" distL="0" distR="0">
                  <wp:extent cx="3024000" cy="1686007"/>
                  <wp:effectExtent l="0" t="0" r="5080" b="9525"/>
                  <wp:docPr id="1144" name="Picture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e.tif"/>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024000" cy="1686007"/>
                          </a:xfrm>
                          <a:prstGeom prst="rect">
                            <a:avLst/>
                          </a:prstGeom>
                        </pic:spPr>
                      </pic:pic>
                    </a:graphicData>
                  </a:graphic>
                </wp:inline>
              </w:drawing>
            </w:r>
          </w:p>
        </w:tc>
        <w:tc>
          <w:tcPr>
            <w:tcW w:w="4986" w:type="dxa"/>
            <w:vAlign w:val="center"/>
          </w:tcPr>
          <w:p w:rsidR="00551C2A" w:rsidRDefault="00551C2A" w:rsidP="00551C2A">
            <w:pPr>
              <w:keepNext/>
              <w:jc w:val="center"/>
              <w:rPr>
                <w:lang w:val="en-IE"/>
              </w:rPr>
            </w:pPr>
            <w:r>
              <w:rPr>
                <w:noProof/>
                <w:lang w:val="en-US"/>
              </w:rPr>
              <w:drawing>
                <wp:inline distT="0" distB="0" distL="0" distR="0" wp14:anchorId="1B8A9558" wp14:editId="2E8FFF20">
                  <wp:extent cx="1457864" cy="472667"/>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1451387" cy="470567"/>
                          </a:xfrm>
                          <a:prstGeom prst="rect">
                            <a:avLst/>
                          </a:prstGeom>
                        </pic:spPr>
                      </pic:pic>
                    </a:graphicData>
                  </a:graphic>
                </wp:inline>
              </w:drawing>
            </w:r>
          </w:p>
        </w:tc>
      </w:tr>
    </w:tbl>
    <w:p w:rsidR="00551C2A" w:rsidRPr="009D5D86" w:rsidRDefault="00551C2A" w:rsidP="009D5D86">
      <w:pPr>
        <w:pStyle w:val="Caption"/>
        <w:rPr>
          <w:lang w:val="en-IE"/>
        </w:rPr>
      </w:pPr>
      <w:bookmarkStart w:id="60" w:name="_Ref386816228"/>
      <w:r>
        <w:t xml:space="preserve">Figure </w:t>
      </w:r>
      <w:r>
        <w:fldChar w:fldCharType="begin"/>
      </w:r>
      <w:r>
        <w:instrText xml:space="preserve"> SEQ Figure \* ARABIC </w:instrText>
      </w:r>
      <w:r>
        <w:fldChar w:fldCharType="separate"/>
      </w:r>
      <w:r w:rsidR="00E40475">
        <w:rPr>
          <w:noProof/>
        </w:rPr>
        <w:t>4</w:t>
      </w:r>
      <w:r>
        <w:fldChar w:fldCharType="end"/>
      </w:r>
      <w:bookmarkEnd w:id="60"/>
      <w:r>
        <w:t>:</w:t>
      </w:r>
      <w:r w:rsidRPr="006765E6">
        <w:rPr>
          <w:lang w:val="en-IE"/>
        </w:rPr>
        <w:t xml:space="preserve"> </w:t>
      </w:r>
      <w:r>
        <w:rPr>
          <w:lang w:val="en-IE"/>
        </w:rPr>
        <w:t>T</w:t>
      </w:r>
      <w:r w:rsidRPr="00627272">
        <w:rPr>
          <w:lang w:val="en-IE"/>
        </w:rPr>
        <w:t xml:space="preserve">urlough stage and alkalinity results </w:t>
      </w:r>
      <w:r>
        <w:rPr>
          <w:lang w:val="en-IE"/>
        </w:rPr>
        <w:t xml:space="preserve">for Blackrock, Coy, Coole, Garryland and Caherglassaun turloughs over the 2012/2013 flooding season. </w:t>
      </w:r>
      <w:r>
        <w:rPr>
          <w:rFonts w:eastAsiaTheme="minorEastAsia"/>
          <w:lang w:val="en-IE"/>
        </w:rPr>
        <w:br w:type="page"/>
      </w:r>
    </w:p>
    <w:p w:rsidR="00551C2A" w:rsidRDefault="002A0896" w:rsidP="00551C2A">
      <w:pPr>
        <w:keepNext/>
        <w:jc w:val="center"/>
      </w:pPr>
      <w:r>
        <w:rPr>
          <w:noProof/>
          <w:lang w:val="en-US"/>
        </w:rPr>
        <w:lastRenderedPageBreak/>
        <w:drawing>
          <wp:inline distT="0" distB="0" distL="0" distR="0">
            <wp:extent cx="5611495" cy="2747010"/>
            <wp:effectExtent l="0" t="0" r="8255" b="0"/>
            <wp:docPr id="1147" name="Picture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5.tif"/>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611495" cy="2747010"/>
                    </a:xfrm>
                    <a:prstGeom prst="rect">
                      <a:avLst/>
                    </a:prstGeom>
                  </pic:spPr>
                </pic:pic>
              </a:graphicData>
            </a:graphic>
          </wp:inline>
        </w:drawing>
      </w:r>
    </w:p>
    <w:p w:rsidR="00551C2A" w:rsidRDefault="00551C2A" w:rsidP="009D5D86">
      <w:pPr>
        <w:pStyle w:val="Caption"/>
      </w:pPr>
      <w:bookmarkStart w:id="61" w:name="_Ref385952756"/>
      <w:bookmarkStart w:id="62" w:name="_Ref385952743"/>
      <w:r>
        <w:t xml:space="preserve">Figure </w:t>
      </w:r>
      <w:r>
        <w:fldChar w:fldCharType="begin"/>
      </w:r>
      <w:r>
        <w:instrText xml:space="preserve"> SEQ Figure \* ARABIC </w:instrText>
      </w:r>
      <w:r>
        <w:fldChar w:fldCharType="separate"/>
      </w:r>
      <w:r w:rsidR="00E40475">
        <w:rPr>
          <w:noProof/>
        </w:rPr>
        <w:t>5</w:t>
      </w:r>
      <w:r>
        <w:fldChar w:fldCharType="end"/>
      </w:r>
      <w:bookmarkEnd w:id="61"/>
      <w:r>
        <w:t>:</w:t>
      </w:r>
      <w:bookmarkEnd w:id="62"/>
      <w:r>
        <w:t xml:space="preserve"> TN concentrations at the upper</w:t>
      </w:r>
      <w:r w:rsidR="00E824EE">
        <w:t xml:space="preserve"> (U)</w:t>
      </w:r>
      <w:r>
        <w:t xml:space="preserve"> and lower</w:t>
      </w:r>
      <w:r w:rsidR="00E824EE">
        <w:t xml:space="preserve"> (L)</w:t>
      </w:r>
      <w:r>
        <w:t xml:space="preserve"> sampling locations on the </w:t>
      </w:r>
      <w:r w:rsidR="00816944">
        <w:t xml:space="preserve">SA1 </w:t>
      </w:r>
      <w:r>
        <w:t>River.</w:t>
      </w:r>
      <w:r>
        <w:br w:type="page"/>
      </w:r>
    </w:p>
    <w:p w:rsidR="00551C2A" w:rsidRDefault="009D5D86" w:rsidP="00551C2A">
      <w:pPr>
        <w:keepNext/>
        <w:jc w:val="center"/>
      </w:pPr>
      <w:r>
        <w:rPr>
          <w:noProof/>
          <w:lang w:val="en-US"/>
        </w:rPr>
        <w:lastRenderedPageBreak/>
        <w:drawing>
          <wp:inline distT="0" distB="0" distL="0" distR="0">
            <wp:extent cx="5611495" cy="2747010"/>
            <wp:effectExtent l="0" t="0" r="8255" b="0"/>
            <wp:docPr id="1134" name="Picture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6.tif"/>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611495" cy="2747010"/>
                    </a:xfrm>
                    <a:prstGeom prst="rect">
                      <a:avLst/>
                    </a:prstGeom>
                  </pic:spPr>
                </pic:pic>
              </a:graphicData>
            </a:graphic>
          </wp:inline>
        </w:drawing>
      </w:r>
    </w:p>
    <w:p w:rsidR="009D4A5E" w:rsidRPr="00C210B1" w:rsidRDefault="00551C2A" w:rsidP="00C210B1">
      <w:pPr>
        <w:pStyle w:val="Caption"/>
      </w:pPr>
      <w:bookmarkStart w:id="63" w:name="_Ref385952757"/>
      <w:bookmarkStart w:id="64" w:name="_Ref385952745"/>
      <w:r>
        <w:t xml:space="preserve">Figure </w:t>
      </w:r>
      <w:r>
        <w:fldChar w:fldCharType="begin"/>
      </w:r>
      <w:r>
        <w:instrText xml:space="preserve"> SEQ Figure \* ARABIC </w:instrText>
      </w:r>
      <w:r>
        <w:fldChar w:fldCharType="separate"/>
      </w:r>
      <w:r w:rsidR="00E40475">
        <w:rPr>
          <w:noProof/>
        </w:rPr>
        <w:t>6</w:t>
      </w:r>
      <w:r>
        <w:fldChar w:fldCharType="end"/>
      </w:r>
      <w:bookmarkEnd w:id="63"/>
      <w:r>
        <w:t>:</w:t>
      </w:r>
      <w:bookmarkEnd w:id="64"/>
      <w:r>
        <w:t xml:space="preserve"> TP concentrations at the upper</w:t>
      </w:r>
      <w:r w:rsidR="00E824EE">
        <w:t xml:space="preserve"> (U)</w:t>
      </w:r>
      <w:r>
        <w:t xml:space="preserve"> and lower</w:t>
      </w:r>
      <w:r w:rsidR="00E824EE">
        <w:t xml:space="preserve"> (L)</w:t>
      </w:r>
      <w:r>
        <w:t xml:space="preserve"> sampling locations on the </w:t>
      </w:r>
      <w:r w:rsidR="00816944">
        <w:t>SA1</w:t>
      </w:r>
      <w:r>
        <w:t xml:space="preserve"> River.</w:t>
      </w:r>
      <w:r w:rsidR="00C56F6C">
        <w:rPr>
          <w:rFonts w:eastAsiaTheme="minorEastAsia"/>
        </w:rPr>
        <w:br w:type="page"/>
      </w:r>
    </w:p>
    <w:tbl>
      <w:tblPr>
        <w:tblStyle w:val="TableGrid"/>
        <w:tblW w:w="10932" w:type="dxa"/>
        <w:jc w:val="center"/>
        <w:tblInd w:w="-11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6"/>
        <w:gridCol w:w="5556"/>
      </w:tblGrid>
      <w:tr w:rsidR="002649F4" w:rsidTr="002649F4">
        <w:trPr>
          <w:jc w:val="center"/>
        </w:trPr>
        <w:tc>
          <w:tcPr>
            <w:tcW w:w="5556" w:type="dxa"/>
          </w:tcPr>
          <w:p w:rsidR="007C54D6" w:rsidRDefault="00F919A4" w:rsidP="0091304E">
            <w:pPr>
              <w:jc w:val="center"/>
            </w:pPr>
            <w:r>
              <w:rPr>
                <w:noProof/>
                <w:lang w:val="en-US"/>
              </w:rPr>
              <w:lastRenderedPageBreak/>
              <w:drawing>
                <wp:inline distT="0" distB="0" distL="0" distR="0" wp14:anchorId="59BFEE24" wp14:editId="331FBE22">
                  <wp:extent cx="3384000" cy="1822154"/>
                  <wp:effectExtent l="0" t="0" r="6985" b="6985"/>
                  <wp:docPr id="1130" name="Picture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a.tif"/>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384000" cy="1822154"/>
                          </a:xfrm>
                          <a:prstGeom prst="rect">
                            <a:avLst/>
                          </a:prstGeom>
                        </pic:spPr>
                      </pic:pic>
                    </a:graphicData>
                  </a:graphic>
                </wp:inline>
              </w:drawing>
            </w:r>
          </w:p>
          <w:p w:rsidR="007C54D6" w:rsidRPr="007D64B7" w:rsidRDefault="002A0896" w:rsidP="0091304E">
            <w:pPr>
              <w:jc w:val="center"/>
              <w:rPr>
                <w:b/>
              </w:rPr>
            </w:pPr>
            <w:r>
              <w:rPr>
                <w:b/>
              </w:rPr>
              <w:t>(a)</w:t>
            </w:r>
          </w:p>
        </w:tc>
        <w:tc>
          <w:tcPr>
            <w:tcW w:w="5376" w:type="dxa"/>
          </w:tcPr>
          <w:p w:rsidR="007C54D6" w:rsidRDefault="00F919A4" w:rsidP="0091304E">
            <w:pPr>
              <w:jc w:val="center"/>
            </w:pPr>
            <w:r>
              <w:rPr>
                <w:noProof/>
                <w:lang w:val="en-US"/>
              </w:rPr>
              <w:drawing>
                <wp:inline distT="0" distB="0" distL="0" distR="0" wp14:anchorId="63CDFD22" wp14:editId="7074F8EF">
                  <wp:extent cx="3384000" cy="1828013"/>
                  <wp:effectExtent l="0" t="0" r="6985" b="1270"/>
                  <wp:docPr id="1129" name="Picture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b_3.tif"/>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384000" cy="1828013"/>
                          </a:xfrm>
                          <a:prstGeom prst="rect">
                            <a:avLst/>
                          </a:prstGeom>
                        </pic:spPr>
                      </pic:pic>
                    </a:graphicData>
                  </a:graphic>
                </wp:inline>
              </w:drawing>
            </w:r>
          </w:p>
          <w:p w:rsidR="007C54D6" w:rsidRPr="007D64B7" w:rsidRDefault="002A0896" w:rsidP="0091304E">
            <w:pPr>
              <w:jc w:val="center"/>
              <w:rPr>
                <w:b/>
              </w:rPr>
            </w:pPr>
            <w:r>
              <w:rPr>
                <w:b/>
              </w:rPr>
              <w:t>(b)</w:t>
            </w:r>
          </w:p>
        </w:tc>
      </w:tr>
      <w:tr w:rsidR="002649F4" w:rsidTr="002649F4">
        <w:trPr>
          <w:jc w:val="center"/>
        </w:trPr>
        <w:tc>
          <w:tcPr>
            <w:tcW w:w="5556" w:type="dxa"/>
          </w:tcPr>
          <w:p w:rsidR="007C54D6" w:rsidRDefault="00F919A4" w:rsidP="0091304E">
            <w:pPr>
              <w:jc w:val="center"/>
            </w:pPr>
            <w:r>
              <w:rPr>
                <w:noProof/>
                <w:lang w:val="en-US"/>
              </w:rPr>
              <w:drawing>
                <wp:inline distT="0" distB="0" distL="0" distR="0">
                  <wp:extent cx="3384000" cy="1822154"/>
                  <wp:effectExtent l="0" t="0" r="6985" b="6985"/>
                  <wp:docPr id="1132" name="Picture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c1.tif"/>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384000" cy="1822154"/>
                          </a:xfrm>
                          <a:prstGeom prst="rect">
                            <a:avLst/>
                          </a:prstGeom>
                        </pic:spPr>
                      </pic:pic>
                    </a:graphicData>
                  </a:graphic>
                </wp:inline>
              </w:drawing>
            </w:r>
          </w:p>
          <w:p w:rsidR="007C54D6" w:rsidRPr="007D64B7" w:rsidRDefault="002A0896" w:rsidP="0091304E">
            <w:pPr>
              <w:jc w:val="center"/>
              <w:rPr>
                <w:b/>
              </w:rPr>
            </w:pPr>
            <w:r>
              <w:rPr>
                <w:b/>
              </w:rPr>
              <w:t>(c-1)</w:t>
            </w:r>
          </w:p>
        </w:tc>
        <w:tc>
          <w:tcPr>
            <w:tcW w:w="5376" w:type="dxa"/>
          </w:tcPr>
          <w:p w:rsidR="007C54D6" w:rsidRDefault="009D5D86" w:rsidP="0091304E">
            <w:pPr>
              <w:jc w:val="center"/>
            </w:pPr>
            <w:r>
              <w:rPr>
                <w:noProof/>
                <w:lang w:val="en-US"/>
              </w:rPr>
              <w:drawing>
                <wp:inline distT="0" distB="0" distL="0" distR="0">
                  <wp:extent cx="3384000" cy="1822154"/>
                  <wp:effectExtent l="0" t="0" r="6985" b="6985"/>
                  <wp:docPr id="1133" name="Picture 1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c2.tif"/>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384000" cy="1822154"/>
                          </a:xfrm>
                          <a:prstGeom prst="rect">
                            <a:avLst/>
                          </a:prstGeom>
                        </pic:spPr>
                      </pic:pic>
                    </a:graphicData>
                  </a:graphic>
                </wp:inline>
              </w:drawing>
            </w:r>
          </w:p>
          <w:p w:rsidR="007C54D6" w:rsidRPr="007D64B7" w:rsidRDefault="002A0896" w:rsidP="0091304E">
            <w:pPr>
              <w:jc w:val="center"/>
              <w:rPr>
                <w:b/>
              </w:rPr>
            </w:pPr>
            <w:r>
              <w:rPr>
                <w:b/>
              </w:rPr>
              <w:t>(c-2)</w:t>
            </w:r>
          </w:p>
        </w:tc>
      </w:tr>
    </w:tbl>
    <w:p w:rsidR="002A0896" w:rsidRDefault="002A0896" w:rsidP="004902EA">
      <w:pPr>
        <w:pStyle w:val="Caption"/>
      </w:pPr>
      <w:bookmarkStart w:id="65" w:name="_Ref414829291"/>
    </w:p>
    <w:p w:rsidR="00924A87" w:rsidRDefault="004902EA" w:rsidP="0080179C">
      <w:pPr>
        <w:pStyle w:val="Caption"/>
        <w:jc w:val="both"/>
        <w:rPr>
          <w:lang w:val="en-IE"/>
        </w:rPr>
      </w:pPr>
      <w:r>
        <w:t xml:space="preserve">Figure </w:t>
      </w:r>
      <w:r>
        <w:fldChar w:fldCharType="begin"/>
      </w:r>
      <w:r>
        <w:instrText xml:space="preserve"> SEQ Figure \* ARABIC </w:instrText>
      </w:r>
      <w:r>
        <w:fldChar w:fldCharType="separate"/>
      </w:r>
      <w:r w:rsidR="00E40475">
        <w:rPr>
          <w:noProof/>
        </w:rPr>
        <w:t>7</w:t>
      </w:r>
      <w:r>
        <w:fldChar w:fldCharType="end"/>
      </w:r>
      <w:bookmarkEnd w:id="65"/>
      <w:r w:rsidR="00447993">
        <w:t xml:space="preserve">: </w:t>
      </w:r>
      <w:r w:rsidR="007C54D6">
        <w:t xml:space="preserve">Selected time series plots of </w:t>
      </w:r>
      <w:r w:rsidR="007C54D6" w:rsidRPr="00627272">
        <w:rPr>
          <w:lang w:val="en-IE"/>
        </w:rPr>
        <w:t>Total Nitrogen (TN), Nitrate (</w:t>
      </w:r>
      <w:r w:rsidR="00A86CE0">
        <w:rPr>
          <w:lang w:val="en-IE"/>
        </w:rPr>
        <w:t>NO</w:t>
      </w:r>
      <w:r w:rsidR="00A86CE0">
        <w:rPr>
          <w:vertAlign w:val="subscript"/>
          <w:lang w:val="en-IE"/>
        </w:rPr>
        <w:t>3</w:t>
      </w:r>
      <w:r w:rsidR="00A86CE0">
        <w:rPr>
          <w:lang w:val="en-IE"/>
        </w:rPr>
        <w:t>-N</w:t>
      </w:r>
      <w:r w:rsidR="007C54D6" w:rsidRPr="00627272">
        <w:rPr>
          <w:lang w:val="en-IE"/>
        </w:rPr>
        <w:t>)</w:t>
      </w:r>
      <w:r w:rsidR="007C54D6">
        <w:rPr>
          <w:lang w:val="en-IE"/>
        </w:rPr>
        <w:t xml:space="preserve">, </w:t>
      </w:r>
      <w:r w:rsidR="007C54D6" w:rsidRPr="00627272">
        <w:rPr>
          <w:lang w:val="en-IE"/>
        </w:rPr>
        <w:t>Total Phosphorus (TP) and Total Dissolved Phosphorus (TDP)</w:t>
      </w:r>
      <w:r w:rsidR="007C54D6">
        <w:rPr>
          <w:lang w:val="en-IE"/>
        </w:rPr>
        <w:t xml:space="preserve"> loads for Coy</w:t>
      </w:r>
      <w:r w:rsidR="007C54D6" w:rsidRPr="00627272">
        <w:rPr>
          <w:lang w:val="en-IE"/>
        </w:rPr>
        <w:t xml:space="preserve">, </w:t>
      </w:r>
      <w:r w:rsidR="007C54D6">
        <w:rPr>
          <w:lang w:val="en-IE"/>
        </w:rPr>
        <w:t>Coole</w:t>
      </w:r>
      <w:r w:rsidR="007C54D6" w:rsidRPr="00627272">
        <w:rPr>
          <w:lang w:val="en-IE"/>
        </w:rPr>
        <w:t xml:space="preserve"> and Caherglassaun turloughs</w:t>
      </w:r>
      <w:r w:rsidR="007C54D6">
        <w:rPr>
          <w:lang w:val="en-IE"/>
        </w:rPr>
        <w:t xml:space="preserve">. </w:t>
      </w:r>
      <w:r w:rsidR="002A0896">
        <w:rPr>
          <w:lang w:val="en-IE"/>
        </w:rPr>
        <w:t>(a</w:t>
      </w:r>
      <w:r w:rsidR="007C54D6">
        <w:rPr>
          <w:lang w:val="en-IE"/>
        </w:rPr>
        <w:t>)</w:t>
      </w:r>
      <w:r w:rsidR="002A0896">
        <w:rPr>
          <w:lang w:val="en-IE"/>
        </w:rPr>
        <w:t>:</w:t>
      </w:r>
      <w:r w:rsidR="007C54D6" w:rsidRPr="00296F35">
        <w:t xml:space="preserve"> </w:t>
      </w:r>
      <w:r w:rsidR="007C54D6">
        <w:t>Flow through turlough, Coole, displaying dilution pattern (</w:t>
      </w:r>
      <w:r w:rsidR="0080179C">
        <w:t>during recession</w:t>
      </w:r>
      <w:r w:rsidR="007C54D6">
        <w:t xml:space="preserve"> the nutrient mass of TDP can be seen reducing significantly while the water level has only dropped moderately)</w:t>
      </w:r>
      <w:r w:rsidR="002A0896">
        <w:t>. (b</w:t>
      </w:r>
      <w:r w:rsidR="007C54D6">
        <w:t>)</w:t>
      </w:r>
      <w:r w:rsidR="002A0896">
        <w:t>:</w:t>
      </w:r>
      <w:r w:rsidR="007C54D6">
        <w:t xml:space="preserve"> Surcharge tank turlough, Caherglassaun,</w:t>
      </w:r>
      <w:r w:rsidR="002A0896">
        <w:t xml:space="preserve"> displaying no dilution. (c</w:t>
      </w:r>
      <w:r w:rsidR="007C54D6">
        <w:t>)</w:t>
      </w:r>
      <w:r w:rsidR="002A0896">
        <w:t>:</w:t>
      </w:r>
      <w:r w:rsidR="007C54D6">
        <w:t xml:space="preserve"> Two examples of surcharge tank turloughs (1: Caherglassaun  2: Coy) showing enhanced reduction in nutrient mass during recession, indicating gain/loss processes could be occurring within the turloughs</w:t>
      </w:r>
      <w:r w:rsidR="00306F2F">
        <w:t>.</w:t>
      </w:r>
    </w:p>
    <w:p w:rsidR="0025363B" w:rsidRPr="0025363B" w:rsidRDefault="00447993" w:rsidP="002A0896">
      <w:pPr>
        <w:spacing w:line="240" w:lineRule="auto"/>
        <w:jc w:val="left"/>
        <w:rPr>
          <w:lang w:val="en-IE"/>
        </w:rPr>
      </w:pPr>
      <w:r>
        <w:rPr>
          <w:lang w:val="en-IE"/>
        </w:rPr>
        <w:br w:type="page"/>
      </w:r>
    </w:p>
    <w:tbl>
      <w:tblPr>
        <w:tblStyle w:val="TableGrid"/>
        <w:tblW w:w="1056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66"/>
      </w:tblGrid>
      <w:tr w:rsidR="00506D6A" w:rsidRPr="00627272" w:rsidTr="009311A6">
        <w:trPr>
          <w:jc w:val="center"/>
        </w:trPr>
        <w:tc>
          <w:tcPr>
            <w:tcW w:w="10566" w:type="dxa"/>
          </w:tcPr>
          <w:p w:rsidR="00506D6A" w:rsidRPr="00627272" w:rsidRDefault="002A0896" w:rsidP="009311A6">
            <w:pPr>
              <w:jc w:val="center"/>
              <w:rPr>
                <w:lang w:val="en-IE"/>
              </w:rPr>
            </w:pPr>
            <w:r>
              <w:rPr>
                <w:noProof/>
                <w:lang w:val="en-US"/>
              </w:rPr>
              <w:lastRenderedPageBreak/>
              <w:drawing>
                <wp:inline distT="0" distB="0" distL="0" distR="0">
                  <wp:extent cx="6120000" cy="1274971"/>
                  <wp:effectExtent l="0" t="0" r="0" b="1905"/>
                  <wp:docPr id="1149" name="Picture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8a.tif"/>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120000" cy="1274971"/>
                          </a:xfrm>
                          <a:prstGeom prst="rect">
                            <a:avLst/>
                          </a:prstGeom>
                        </pic:spPr>
                      </pic:pic>
                    </a:graphicData>
                  </a:graphic>
                </wp:inline>
              </w:drawing>
            </w:r>
          </w:p>
        </w:tc>
      </w:tr>
      <w:tr w:rsidR="00506D6A" w:rsidRPr="00627272" w:rsidTr="009311A6">
        <w:trPr>
          <w:jc w:val="center"/>
        </w:trPr>
        <w:tc>
          <w:tcPr>
            <w:tcW w:w="10566" w:type="dxa"/>
          </w:tcPr>
          <w:p w:rsidR="00506D6A" w:rsidRPr="00627272" w:rsidRDefault="002A0896" w:rsidP="009311A6">
            <w:pPr>
              <w:keepNext/>
              <w:jc w:val="center"/>
              <w:rPr>
                <w:lang w:val="en-IE"/>
              </w:rPr>
            </w:pPr>
            <w:r>
              <w:rPr>
                <w:noProof/>
                <w:lang w:val="en-US"/>
              </w:rPr>
              <w:drawing>
                <wp:inline distT="0" distB="0" distL="0" distR="0">
                  <wp:extent cx="6120000" cy="1274971"/>
                  <wp:effectExtent l="0" t="0" r="0" b="1905"/>
                  <wp:docPr id="1150" name="Picture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8b.tif"/>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120000" cy="1274971"/>
                          </a:xfrm>
                          <a:prstGeom prst="rect">
                            <a:avLst/>
                          </a:prstGeom>
                        </pic:spPr>
                      </pic:pic>
                    </a:graphicData>
                  </a:graphic>
                </wp:inline>
              </w:drawing>
            </w:r>
          </w:p>
        </w:tc>
      </w:tr>
    </w:tbl>
    <w:p w:rsidR="00506D6A" w:rsidRDefault="00506D6A" w:rsidP="00506D6A">
      <w:pPr>
        <w:pStyle w:val="Caption"/>
        <w:rPr>
          <w:lang w:val="en-IE"/>
        </w:rPr>
      </w:pPr>
      <w:bookmarkStart w:id="66" w:name="_Ref386199819"/>
      <w:r>
        <w:t xml:space="preserve">Figure </w:t>
      </w:r>
      <w:r>
        <w:fldChar w:fldCharType="begin"/>
      </w:r>
      <w:r>
        <w:instrText xml:space="preserve"> SEQ Figure \* ARABIC </w:instrText>
      </w:r>
      <w:r>
        <w:fldChar w:fldCharType="separate"/>
      </w:r>
      <w:r w:rsidR="00E40475">
        <w:rPr>
          <w:noProof/>
        </w:rPr>
        <w:t>8</w:t>
      </w:r>
      <w:r>
        <w:fldChar w:fldCharType="end"/>
      </w:r>
      <w:bookmarkEnd w:id="66"/>
      <w:r>
        <w:t xml:space="preserve">: </w:t>
      </w:r>
      <w:r w:rsidRPr="00627272">
        <w:rPr>
          <w:lang w:val="en-IE"/>
        </w:rPr>
        <w:t>Daily Nutrient Loads exiting the system at</w:t>
      </w:r>
      <w:r w:rsidR="006B35EC">
        <w:rPr>
          <w:lang w:val="en-IE"/>
        </w:rPr>
        <w:t xml:space="preserve"> KW based on modelled outflow  </w:t>
      </w:r>
      <w:r w:rsidR="006B35EC">
        <w:rPr>
          <w:lang w:val="en-IE"/>
        </w:rPr>
        <w:fldChar w:fldCharType="begin"/>
      </w:r>
      <w:r w:rsidR="006B35EC">
        <w:rPr>
          <w:lang w:val="en-IE"/>
        </w:rPr>
        <w:instrText xml:space="preserve"> ADDIN EN.CITE &lt;EndNote&gt;&lt;Cite&gt;&lt;Author&gt;McCormack&lt;/Author&gt;&lt;Year&gt;2014&lt;/Year&gt;&lt;RecNum&gt;590&lt;/RecNum&gt;&lt;DisplayText&gt;(McCormack et al., 2014)&lt;/DisplayText&gt;&lt;record&gt;&lt;rec-number&gt;590&lt;/rec-number&gt;&lt;foreign-keys&gt;&lt;key app="EN" db-id="dswvr2vdivtsvfepswzvft9gtsxe5zxfaavp" timestamp="1414572943"&gt;590&lt;/key&gt;&lt;/foreign-keys&gt;&lt;ref-type name="Journal Article"&gt;17&lt;/ref-type&gt;&lt;contributors&gt;&lt;authors&gt;&lt;author&gt;McCormack, T.&lt;/author&gt;&lt;author&gt;Gill, L. W.&lt;/author&gt;&lt;author&gt;Naughton, O.&lt;/author&gt;&lt;author&gt;Johnston, P. M.&lt;/author&gt;&lt;/authors&gt;&lt;/contributors&gt;&lt;titles&gt;&lt;title&gt;Quantification of submarine/intertidal groundwater discharge and nutrient loading from a lowland karst catchment&lt;/title&gt;&lt;secondary-title&gt;Journal of Hydrology&lt;/secondary-title&gt;&lt;/titles&gt;&lt;periodical&gt;&lt;full-title&gt;Journal of Hydrology&lt;/full-title&gt;&lt;/periodical&gt;&lt;pages&gt;2318-2330&lt;/pages&gt;&lt;volume&gt;519, Part B&lt;/volume&gt;&lt;number&gt;0&lt;/number&gt;&lt;keywords&gt;&lt;keyword&gt;Submarine groundwater discharge&lt;/keyword&gt;&lt;keyword&gt;Karst&lt;/keyword&gt;&lt;keyword&gt;Modelling&lt;/keyword&gt;&lt;keyword&gt;Salinity&lt;/keyword&gt;&lt;keyword&gt;Nutrient loading&lt;/keyword&gt;&lt;keyword&gt;Ireland&lt;/keyword&gt;&lt;/keywords&gt;&lt;dates&gt;&lt;year&gt;2014&lt;/year&gt;&lt;pub-dates&gt;&lt;date&gt;11/27/&lt;/date&gt;&lt;/pub-dates&gt;&lt;/dates&gt;&lt;isbn&gt;0022-1694&lt;/isbn&gt;&lt;urls&gt;&lt;related-urls&gt;&lt;url&gt;http://www.sciencedirect.com/science/article/pii/S0022169414007781&lt;/url&gt;&lt;/related-urls&gt;&lt;/urls&gt;&lt;electronic-resource-num&gt;http://dx.doi.org/10.1016/j.jhydrol.2014.09.086&lt;/electronic-resource-num&gt;&lt;/record&gt;&lt;/Cite&gt;&lt;/EndNote&gt;</w:instrText>
      </w:r>
      <w:r w:rsidR="006B35EC">
        <w:rPr>
          <w:lang w:val="en-IE"/>
        </w:rPr>
        <w:fldChar w:fldCharType="separate"/>
      </w:r>
      <w:r w:rsidR="006B35EC">
        <w:rPr>
          <w:noProof/>
          <w:lang w:val="en-IE"/>
        </w:rPr>
        <w:t>(</w:t>
      </w:r>
      <w:hyperlink w:anchor="_ENREF_24" w:tooltip="McCormack, 2014 #590" w:history="1">
        <w:r w:rsidR="006B35EC">
          <w:rPr>
            <w:noProof/>
            <w:lang w:val="en-IE"/>
          </w:rPr>
          <w:t>McCormack et al., 2014</w:t>
        </w:r>
      </w:hyperlink>
      <w:r w:rsidR="006B35EC">
        <w:rPr>
          <w:noProof/>
          <w:lang w:val="en-IE"/>
        </w:rPr>
        <w:t>)</w:t>
      </w:r>
      <w:r w:rsidR="006B35EC">
        <w:rPr>
          <w:lang w:val="en-IE"/>
        </w:rPr>
        <w:fldChar w:fldCharType="end"/>
      </w:r>
    </w:p>
    <w:p w:rsidR="00506D6A" w:rsidRDefault="00506D6A">
      <w:pPr>
        <w:spacing w:line="240" w:lineRule="auto"/>
        <w:jc w:val="left"/>
        <w:rPr>
          <w:rFonts w:eastAsiaTheme="minorEastAsia"/>
        </w:rPr>
      </w:pPr>
      <w:r>
        <w:rPr>
          <w:rFonts w:eastAsiaTheme="minorEastAsia"/>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6"/>
        <w:gridCol w:w="4527"/>
      </w:tblGrid>
      <w:tr w:rsidR="00506D6A" w:rsidTr="009311A6">
        <w:tc>
          <w:tcPr>
            <w:tcW w:w="4572" w:type="dxa"/>
          </w:tcPr>
          <w:p w:rsidR="00506D6A" w:rsidRPr="00B51BD2" w:rsidRDefault="002A0896" w:rsidP="009311A6">
            <w:pPr>
              <w:keepNext/>
              <w:jc w:val="center"/>
              <w:rPr>
                <w:szCs w:val="22"/>
              </w:rPr>
            </w:pPr>
            <w:r>
              <w:rPr>
                <w:noProof/>
                <w:szCs w:val="22"/>
                <w:lang w:val="en-US"/>
              </w:rPr>
              <w:lastRenderedPageBreak/>
              <w:drawing>
                <wp:inline distT="0" distB="0" distL="0" distR="0" wp14:anchorId="7F8875CC" wp14:editId="311C04DA">
                  <wp:extent cx="2844000" cy="1588717"/>
                  <wp:effectExtent l="0" t="0" r="0" b="0"/>
                  <wp:docPr id="1151" name="Picture 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9a.tif"/>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44000" cy="1588717"/>
                          </a:xfrm>
                          <a:prstGeom prst="rect">
                            <a:avLst/>
                          </a:prstGeom>
                        </pic:spPr>
                      </pic:pic>
                    </a:graphicData>
                  </a:graphic>
                </wp:inline>
              </w:drawing>
            </w:r>
          </w:p>
          <w:p w:rsidR="00506D6A" w:rsidRPr="00B51BD2" w:rsidRDefault="00506D6A" w:rsidP="009311A6">
            <w:pPr>
              <w:keepNext/>
              <w:jc w:val="center"/>
              <w:rPr>
                <w:szCs w:val="22"/>
              </w:rPr>
            </w:pPr>
            <w:r w:rsidRPr="00B51BD2">
              <w:rPr>
                <w:szCs w:val="22"/>
              </w:rPr>
              <w:t>(a)</w:t>
            </w:r>
          </w:p>
        </w:tc>
        <w:tc>
          <w:tcPr>
            <w:tcW w:w="4481" w:type="dxa"/>
          </w:tcPr>
          <w:p w:rsidR="00506D6A" w:rsidRPr="00B51BD2" w:rsidRDefault="002A0896" w:rsidP="009311A6">
            <w:pPr>
              <w:keepNext/>
              <w:jc w:val="center"/>
              <w:rPr>
                <w:szCs w:val="22"/>
              </w:rPr>
            </w:pPr>
            <w:r>
              <w:rPr>
                <w:noProof/>
                <w:szCs w:val="22"/>
                <w:lang w:val="en-US"/>
              </w:rPr>
              <w:drawing>
                <wp:inline distT="0" distB="0" distL="0" distR="0" wp14:anchorId="15EF7668" wp14:editId="1E9E40E3">
                  <wp:extent cx="2844000" cy="1586529"/>
                  <wp:effectExtent l="0" t="0" r="0" b="0"/>
                  <wp:docPr id="2176" name="Picture 2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9b.tif"/>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44000" cy="1586529"/>
                          </a:xfrm>
                          <a:prstGeom prst="rect">
                            <a:avLst/>
                          </a:prstGeom>
                        </pic:spPr>
                      </pic:pic>
                    </a:graphicData>
                  </a:graphic>
                </wp:inline>
              </w:drawing>
            </w:r>
          </w:p>
          <w:p w:rsidR="00506D6A" w:rsidRPr="00B51BD2" w:rsidRDefault="00506D6A" w:rsidP="009311A6">
            <w:pPr>
              <w:keepNext/>
              <w:jc w:val="center"/>
              <w:rPr>
                <w:szCs w:val="22"/>
              </w:rPr>
            </w:pPr>
            <w:r w:rsidRPr="00B51BD2">
              <w:rPr>
                <w:szCs w:val="22"/>
              </w:rPr>
              <w:t>(b)</w:t>
            </w:r>
          </w:p>
        </w:tc>
      </w:tr>
    </w:tbl>
    <w:p w:rsidR="002A0896" w:rsidRDefault="00506D6A" w:rsidP="00506D6A">
      <w:pPr>
        <w:pStyle w:val="Caption"/>
      </w:pPr>
      <w:bookmarkStart w:id="67" w:name="_Ref386449369"/>
      <w:r>
        <w:t xml:space="preserve">Figure </w:t>
      </w:r>
      <w:r>
        <w:fldChar w:fldCharType="begin"/>
      </w:r>
      <w:r>
        <w:instrText xml:space="preserve"> SEQ Figure \* ARABIC </w:instrText>
      </w:r>
      <w:r>
        <w:fldChar w:fldCharType="separate"/>
      </w:r>
      <w:r w:rsidR="00E40475">
        <w:rPr>
          <w:noProof/>
        </w:rPr>
        <w:t>9</w:t>
      </w:r>
      <w:r>
        <w:fldChar w:fldCharType="end"/>
      </w:r>
      <w:bookmarkEnd w:id="67"/>
      <w:r>
        <w:t xml:space="preserve">: </w:t>
      </w:r>
      <w:r w:rsidRPr="00800BE9">
        <w:t>Simulation plots of a nutrient plume in a flow-through sy</w:t>
      </w:r>
      <w:r w:rsidR="002A0896">
        <w:t>stem (</w:t>
      </w:r>
      <w:proofErr w:type="spellStart"/>
      <w:r w:rsidR="002A0896">
        <w:t>Blakcrock</w:t>
      </w:r>
      <w:proofErr w:type="spellEnd"/>
      <w:r w:rsidR="002A0896">
        <w:t>).</w:t>
      </w:r>
    </w:p>
    <w:p w:rsidR="00506D6A" w:rsidRDefault="002A0896" w:rsidP="00506D6A">
      <w:pPr>
        <w:pStyle w:val="Caption"/>
        <w:rPr>
          <w:lang w:val="en-IE"/>
        </w:rPr>
      </w:pPr>
      <w:r>
        <w:t xml:space="preserve"> (</w:t>
      </w:r>
      <w:proofErr w:type="gramStart"/>
      <w:r>
        <w:t>a</w:t>
      </w:r>
      <w:proofErr w:type="gramEnd"/>
      <w:r>
        <w:t xml:space="preserve">): </w:t>
      </w:r>
      <w:r w:rsidR="00506D6A" w:rsidRPr="00800BE9">
        <w:t xml:space="preserve">Concentration, </w:t>
      </w:r>
      <w:r>
        <w:t xml:space="preserve">(b): </w:t>
      </w:r>
      <w:r w:rsidR="00506D6A" w:rsidRPr="00800BE9">
        <w:t xml:space="preserve">Load. </w:t>
      </w:r>
    </w:p>
    <w:p w:rsidR="00506D6A" w:rsidRDefault="00506D6A">
      <w:pPr>
        <w:spacing w:line="240" w:lineRule="auto"/>
        <w:jc w:val="left"/>
        <w:rPr>
          <w:rFonts w:eastAsiaTheme="minorEastAsia"/>
        </w:rPr>
      </w:pPr>
      <w:r>
        <w:rPr>
          <w:rFonts w:eastAsiaTheme="minorEastAsia"/>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6"/>
        <w:gridCol w:w="4527"/>
      </w:tblGrid>
      <w:tr w:rsidR="00506D6A" w:rsidTr="009311A6">
        <w:tc>
          <w:tcPr>
            <w:tcW w:w="4572" w:type="dxa"/>
          </w:tcPr>
          <w:p w:rsidR="00506D6A" w:rsidRPr="00B51BD2" w:rsidRDefault="002A0896" w:rsidP="009311A6">
            <w:pPr>
              <w:keepNext/>
              <w:jc w:val="center"/>
              <w:rPr>
                <w:szCs w:val="22"/>
              </w:rPr>
            </w:pPr>
            <w:r>
              <w:rPr>
                <w:noProof/>
                <w:szCs w:val="22"/>
                <w:lang w:val="en-US"/>
              </w:rPr>
              <w:lastRenderedPageBreak/>
              <w:drawing>
                <wp:inline distT="0" distB="0" distL="0" distR="0" wp14:anchorId="54209E2C" wp14:editId="0260E2EB">
                  <wp:extent cx="2844000" cy="1588717"/>
                  <wp:effectExtent l="0" t="0" r="0" b="0"/>
                  <wp:docPr id="2177" name="Picture 2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0a.tif"/>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844000" cy="1588717"/>
                          </a:xfrm>
                          <a:prstGeom prst="rect">
                            <a:avLst/>
                          </a:prstGeom>
                        </pic:spPr>
                      </pic:pic>
                    </a:graphicData>
                  </a:graphic>
                </wp:inline>
              </w:drawing>
            </w:r>
          </w:p>
          <w:p w:rsidR="00506D6A" w:rsidRPr="00B51BD2" w:rsidRDefault="00506D6A" w:rsidP="009311A6">
            <w:pPr>
              <w:keepNext/>
              <w:jc w:val="center"/>
              <w:rPr>
                <w:szCs w:val="22"/>
              </w:rPr>
            </w:pPr>
            <w:r w:rsidRPr="00B51BD2">
              <w:rPr>
                <w:szCs w:val="22"/>
              </w:rPr>
              <w:t>(a)</w:t>
            </w:r>
          </w:p>
        </w:tc>
        <w:tc>
          <w:tcPr>
            <w:tcW w:w="4481" w:type="dxa"/>
          </w:tcPr>
          <w:p w:rsidR="00506D6A" w:rsidRPr="00B51BD2" w:rsidRDefault="002A0896" w:rsidP="009311A6">
            <w:pPr>
              <w:keepNext/>
              <w:jc w:val="center"/>
              <w:rPr>
                <w:szCs w:val="22"/>
              </w:rPr>
            </w:pPr>
            <w:r>
              <w:rPr>
                <w:noProof/>
                <w:szCs w:val="22"/>
                <w:lang w:val="en-US"/>
              </w:rPr>
              <w:drawing>
                <wp:inline distT="0" distB="0" distL="0" distR="0">
                  <wp:extent cx="2844000" cy="1588717"/>
                  <wp:effectExtent l="0" t="0" r="0" b="0"/>
                  <wp:docPr id="2178" name="Picture 2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0b.tif"/>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844000" cy="1588717"/>
                          </a:xfrm>
                          <a:prstGeom prst="rect">
                            <a:avLst/>
                          </a:prstGeom>
                        </pic:spPr>
                      </pic:pic>
                    </a:graphicData>
                  </a:graphic>
                </wp:inline>
              </w:drawing>
            </w:r>
          </w:p>
          <w:p w:rsidR="00506D6A" w:rsidRPr="00B51BD2" w:rsidRDefault="00506D6A" w:rsidP="009311A6">
            <w:pPr>
              <w:keepNext/>
              <w:jc w:val="center"/>
              <w:rPr>
                <w:szCs w:val="22"/>
              </w:rPr>
            </w:pPr>
            <w:r w:rsidRPr="00B51BD2">
              <w:rPr>
                <w:szCs w:val="22"/>
              </w:rPr>
              <w:t>(b)</w:t>
            </w:r>
          </w:p>
        </w:tc>
      </w:tr>
    </w:tbl>
    <w:p w:rsidR="002A0896" w:rsidRDefault="00506D6A" w:rsidP="002A0896">
      <w:pPr>
        <w:pStyle w:val="Caption"/>
      </w:pPr>
      <w:bookmarkStart w:id="68" w:name="_Ref386449372"/>
      <w:r>
        <w:t xml:space="preserve">Figure </w:t>
      </w:r>
      <w:r>
        <w:fldChar w:fldCharType="begin"/>
      </w:r>
      <w:r>
        <w:instrText xml:space="preserve"> SEQ Figure \* ARABIC </w:instrText>
      </w:r>
      <w:r>
        <w:fldChar w:fldCharType="separate"/>
      </w:r>
      <w:r w:rsidR="00E40475">
        <w:rPr>
          <w:noProof/>
        </w:rPr>
        <w:t>10</w:t>
      </w:r>
      <w:r>
        <w:fldChar w:fldCharType="end"/>
      </w:r>
      <w:bookmarkEnd w:id="68"/>
      <w:r>
        <w:t xml:space="preserve">: </w:t>
      </w:r>
      <w:r w:rsidRPr="00800BE9">
        <w:t xml:space="preserve">Simulation plots of a nutrient plume in a surcharge tank system (Coy). </w:t>
      </w:r>
    </w:p>
    <w:p w:rsidR="002A0896" w:rsidRDefault="002A0896" w:rsidP="002A0896">
      <w:pPr>
        <w:pStyle w:val="Caption"/>
        <w:rPr>
          <w:lang w:val="en-IE"/>
        </w:rPr>
      </w:pPr>
      <w:r>
        <w:t xml:space="preserve"> (</w:t>
      </w:r>
      <w:proofErr w:type="gramStart"/>
      <w:r>
        <w:t>a</w:t>
      </w:r>
      <w:proofErr w:type="gramEnd"/>
      <w:r>
        <w:t xml:space="preserve">): </w:t>
      </w:r>
      <w:r w:rsidRPr="00800BE9">
        <w:t xml:space="preserve">Concentration, </w:t>
      </w:r>
      <w:r>
        <w:t xml:space="preserve">(b): </w:t>
      </w:r>
      <w:r w:rsidRPr="00800BE9">
        <w:t xml:space="preserve">Load. </w:t>
      </w:r>
    </w:p>
    <w:p w:rsidR="00506D6A" w:rsidRDefault="00506D6A" w:rsidP="00506D6A">
      <w:pPr>
        <w:pStyle w:val="Caption"/>
      </w:pPr>
    </w:p>
    <w:p w:rsidR="00506D6A" w:rsidRDefault="00506D6A">
      <w:pPr>
        <w:spacing w:line="240" w:lineRule="auto"/>
        <w:jc w:val="left"/>
        <w:rPr>
          <w:rFonts w:eastAsiaTheme="minorEastAsia"/>
        </w:rPr>
      </w:pPr>
      <w:r>
        <w:rPr>
          <w:rFonts w:eastAsiaTheme="minorEastAsia"/>
        </w:rPr>
        <w:br w:type="page"/>
      </w:r>
    </w:p>
    <w:p w:rsidR="00506D6A" w:rsidRDefault="002A0896" w:rsidP="00506D6A">
      <w:pPr>
        <w:keepNext/>
        <w:jc w:val="center"/>
      </w:pPr>
      <w:r>
        <w:rPr>
          <w:noProof/>
          <w:lang w:val="en-US"/>
        </w:rPr>
        <w:lastRenderedPageBreak/>
        <w:drawing>
          <wp:inline distT="0" distB="0" distL="0" distR="0">
            <wp:extent cx="5117592" cy="2462784"/>
            <wp:effectExtent l="0" t="0" r="6985" b="0"/>
            <wp:docPr id="2180" name="Picture 2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1_2.tif"/>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117592" cy="2462784"/>
                    </a:xfrm>
                    <a:prstGeom prst="rect">
                      <a:avLst/>
                    </a:prstGeom>
                  </pic:spPr>
                </pic:pic>
              </a:graphicData>
            </a:graphic>
          </wp:inline>
        </w:drawing>
      </w:r>
    </w:p>
    <w:p w:rsidR="00551C2A" w:rsidRPr="002A0896" w:rsidRDefault="00506D6A" w:rsidP="002A0896">
      <w:pPr>
        <w:pStyle w:val="Caption"/>
      </w:pPr>
      <w:bookmarkStart w:id="69" w:name="_Ref387843565"/>
      <w:r>
        <w:t xml:space="preserve">Figure </w:t>
      </w:r>
      <w:r>
        <w:fldChar w:fldCharType="begin"/>
      </w:r>
      <w:r>
        <w:instrText xml:space="preserve"> SEQ Figure \* ARABIC </w:instrText>
      </w:r>
      <w:r>
        <w:fldChar w:fldCharType="separate"/>
      </w:r>
      <w:r w:rsidR="00E40475">
        <w:rPr>
          <w:noProof/>
        </w:rPr>
        <w:t>11</w:t>
      </w:r>
      <w:r>
        <w:fldChar w:fldCharType="end"/>
      </w:r>
      <w:bookmarkEnd w:id="69"/>
      <w:r>
        <w:t xml:space="preserve">: </w:t>
      </w:r>
      <w:r w:rsidRPr="00627272">
        <w:rPr>
          <w:lang w:val="en-IE"/>
        </w:rPr>
        <w:t xml:space="preserve">Denitrification example, Caherglassaun. </w:t>
      </w:r>
      <w:proofErr w:type="gramStart"/>
      <w:r>
        <w:rPr>
          <w:lang w:val="en-IE"/>
        </w:rPr>
        <w:t>Denitrification occurring between points A and B.</w:t>
      </w:r>
      <w:proofErr w:type="gramEnd"/>
    </w:p>
    <w:sectPr w:rsidR="00551C2A" w:rsidRPr="002A0896" w:rsidSect="003770AA">
      <w:type w:val="continuous"/>
      <w:pgSz w:w="12240" w:h="15840"/>
      <w:pgMar w:top="1418" w:right="1418" w:bottom="1418" w:left="1985" w:header="706" w:footer="706" w:gutter="0"/>
      <w:lnNumType w:countBy="1" w:restart="continuous"/>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F54B326" w15:done="0"/>
  <w15:commentEx w15:paraId="7F699D0E" w15:done="0"/>
</w15:commentsEx>
</file>

<file path=word/customizations.xml><?xml version="1.0" encoding="utf-8"?>
<wne:tcg xmlns:r="http://schemas.openxmlformats.org/officeDocument/2006/relationships" xmlns:wne="http://schemas.microsoft.com/office/word/2006/wordml">
  <wne:keymaps>
    <wne:keymap wne:kcmPrimary="0261">
      <wne:macro wne:macroName="NORMAL.NEWMACROS.MACRO7"/>
    </wne:keymap>
    <wne:keymap wne:kcmPrimary="0262">
      <wne:macro wne:macroName="NORMAL.NEWMACROS.MACRO8"/>
    </wne:keymap>
  </wne:keymap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3394" w:rsidRDefault="005C3394">
      <w:r>
        <w:separator/>
      </w:r>
    </w:p>
  </w:endnote>
  <w:endnote w:type="continuationSeparator" w:id="0">
    <w:p w:rsidR="005C3394" w:rsidRDefault="005C33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3394" w:rsidRDefault="005C3394">
      <w:r>
        <w:separator/>
      </w:r>
    </w:p>
  </w:footnote>
  <w:footnote w:type="continuationSeparator" w:id="0">
    <w:p w:rsidR="005C3394" w:rsidRDefault="005C339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1.25pt;height:11.25pt" o:bullet="t">
        <v:imagedata r:id="rId1" o:title="mso33A7"/>
      </v:shape>
    </w:pict>
  </w:numPicBullet>
  <w:abstractNum w:abstractNumId="0">
    <w:nsid w:val="011A7186"/>
    <w:multiLevelType w:val="hybridMultilevel"/>
    <w:tmpl w:val="CC8E11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A47D95"/>
    <w:multiLevelType w:val="hybridMultilevel"/>
    <w:tmpl w:val="359AB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696E01"/>
    <w:multiLevelType w:val="hybridMultilevel"/>
    <w:tmpl w:val="20F8505C"/>
    <w:lvl w:ilvl="0" w:tplc="9BF22B28">
      <w:start w:val="2"/>
      <w:numFmt w:val="bullet"/>
      <w:lvlText w:val="-"/>
      <w:lvlJc w:val="left"/>
      <w:pPr>
        <w:ind w:left="720" w:hanging="360"/>
      </w:pPr>
      <w:rPr>
        <w:rFonts w:ascii="Times New Roman" w:eastAsiaTheme="minorEastAsia"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nsid w:val="082065FF"/>
    <w:multiLevelType w:val="hybridMultilevel"/>
    <w:tmpl w:val="5FCC68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8710757"/>
    <w:multiLevelType w:val="hybridMultilevel"/>
    <w:tmpl w:val="9DFEB64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DE249DC"/>
    <w:multiLevelType w:val="hybridMultilevel"/>
    <w:tmpl w:val="5EE043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267FB4"/>
    <w:multiLevelType w:val="hybridMultilevel"/>
    <w:tmpl w:val="4128FD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2B61162"/>
    <w:multiLevelType w:val="hybridMultilevel"/>
    <w:tmpl w:val="41EEAAF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A957510"/>
    <w:multiLevelType w:val="hybridMultilevel"/>
    <w:tmpl w:val="655CFB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B0B364E"/>
    <w:multiLevelType w:val="hybridMultilevel"/>
    <w:tmpl w:val="89F62EE0"/>
    <w:lvl w:ilvl="0" w:tplc="072ECDAA">
      <w:numFmt w:val="bullet"/>
      <w:lvlText w:val="-"/>
      <w:lvlJc w:val="left"/>
      <w:pPr>
        <w:ind w:left="720" w:hanging="360"/>
      </w:pPr>
      <w:rPr>
        <w:rFonts w:ascii="Times New Roman" w:eastAsia="Times New Roman"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nsid w:val="1F856D25"/>
    <w:multiLevelType w:val="hybridMultilevel"/>
    <w:tmpl w:val="1C9284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24C743D"/>
    <w:multiLevelType w:val="hybridMultilevel"/>
    <w:tmpl w:val="557ABFE0"/>
    <w:lvl w:ilvl="0" w:tplc="71EABDAE">
      <w:numFmt w:val="bullet"/>
      <w:lvlText w:val="-"/>
      <w:lvlJc w:val="left"/>
      <w:pPr>
        <w:ind w:left="420" w:hanging="360"/>
      </w:pPr>
      <w:rPr>
        <w:rFonts w:ascii="Times New Roman" w:eastAsia="Times New Roman" w:hAnsi="Times New Roman" w:cs="Times New Roman" w:hint="default"/>
      </w:rPr>
    </w:lvl>
    <w:lvl w:ilvl="1" w:tplc="18090003" w:tentative="1">
      <w:start w:val="1"/>
      <w:numFmt w:val="bullet"/>
      <w:lvlText w:val="o"/>
      <w:lvlJc w:val="left"/>
      <w:pPr>
        <w:ind w:left="1140" w:hanging="360"/>
      </w:pPr>
      <w:rPr>
        <w:rFonts w:ascii="Courier New" w:hAnsi="Courier New" w:cs="Courier New" w:hint="default"/>
      </w:rPr>
    </w:lvl>
    <w:lvl w:ilvl="2" w:tplc="18090005" w:tentative="1">
      <w:start w:val="1"/>
      <w:numFmt w:val="bullet"/>
      <w:lvlText w:val=""/>
      <w:lvlJc w:val="left"/>
      <w:pPr>
        <w:ind w:left="1860" w:hanging="360"/>
      </w:pPr>
      <w:rPr>
        <w:rFonts w:ascii="Wingdings" w:hAnsi="Wingdings" w:hint="default"/>
      </w:rPr>
    </w:lvl>
    <w:lvl w:ilvl="3" w:tplc="18090001" w:tentative="1">
      <w:start w:val="1"/>
      <w:numFmt w:val="bullet"/>
      <w:lvlText w:val=""/>
      <w:lvlJc w:val="left"/>
      <w:pPr>
        <w:ind w:left="2580" w:hanging="360"/>
      </w:pPr>
      <w:rPr>
        <w:rFonts w:ascii="Symbol" w:hAnsi="Symbol" w:hint="default"/>
      </w:rPr>
    </w:lvl>
    <w:lvl w:ilvl="4" w:tplc="18090003" w:tentative="1">
      <w:start w:val="1"/>
      <w:numFmt w:val="bullet"/>
      <w:lvlText w:val="o"/>
      <w:lvlJc w:val="left"/>
      <w:pPr>
        <w:ind w:left="3300" w:hanging="360"/>
      </w:pPr>
      <w:rPr>
        <w:rFonts w:ascii="Courier New" w:hAnsi="Courier New" w:cs="Courier New" w:hint="default"/>
      </w:rPr>
    </w:lvl>
    <w:lvl w:ilvl="5" w:tplc="18090005" w:tentative="1">
      <w:start w:val="1"/>
      <w:numFmt w:val="bullet"/>
      <w:lvlText w:val=""/>
      <w:lvlJc w:val="left"/>
      <w:pPr>
        <w:ind w:left="4020" w:hanging="360"/>
      </w:pPr>
      <w:rPr>
        <w:rFonts w:ascii="Wingdings" w:hAnsi="Wingdings" w:hint="default"/>
      </w:rPr>
    </w:lvl>
    <w:lvl w:ilvl="6" w:tplc="18090001" w:tentative="1">
      <w:start w:val="1"/>
      <w:numFmt w:val="bullet"/>
      <w:lvlText w:val=""/>
      <w:lvlJc w:val="left"/>
      <w:pPr>
        <w:ind w:left="4740" w:hanging="360"/>
      </w:pPr>
      <w:rPr>
        <w:rFonts w:ascii="Symbol" w:hAnsi="Symbol" w:hint="default"/>
      </w:rPr>
    </w:lvl>
    <w:lvl w:ilvl="7" w:tplc="18090003" w:tentative="1">
      <w:start w:val="1"/>
      <w:numFmt w:val="bullet"/>
      <w:lvlText w:val="o"/>
      <w:lvlJc w:val="left"/>
      <w:pPr>
        <w:ind w:left="5460" w:hanging="360"/>
      </w:pPr>
      <w:rPr>
        <w:rFonts w:ascii="Courier New" w:hAnsi="Courier New" w:cs="Courier New" w:hint="default"/>
      </w:rPr>
    </w:lvl>
    <w:lvl w:ilvl="8" w:tplc="18090005" w:tentative="1">
      <w:start w:val="1"/>
      <w:numFmt w:val="bullet"/>
      <w:lvlText w:val=""/>
      <w:lvlJc w:val="left"/>
      <w:pPr>
        <w:ind w:left="6180" w:hanging="360"/>
      </w:pPr>
      <w:rPr>
        <w:rFonts w:ascii="Wingdings" w:hAnsi="Wingdings" w:hint="default"/>
      </w:rPr>
    </w:lvl>
  </w:abstractNum>
  <w:abstractNum w:abstractNumId="12">
    <w:nsid w:val="2257217B"/>
    <w:multiLevelType w:val="hybridMultilevel"/>
    <w:tmpl w:val="4C165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4B56D10"/>
    <w:multiLevelType w:val="hybridMultilevel"/>
    <w:tmpl w:val="80B29A34"/>
    <w:lvl w:ilvl="0" w:tplc="EC089764">
      <w:numFmt w:val="bullet"/>
      <w:lvlText w:val="-"/>
      <w:lvlJc w:val="left"/>
      <w:pPr>
        <w:ind w:left="720" w:hanging="360"/>
      </w:pPr>
      <w:rPr>
        <w:rFonts w:ascii="Times New Roman" w:eastAsia="Times New Roman"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nsid w:val="26DB51DB"/>
    <w:multiLevelType w:val="hybridMultilevel"/>
    <w:tmpl w:val="235835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C9104BC"/>
    <w:multiLevelType w:val="hybridMultilevel"/>
    <w:tmpl w:val="ACE69796"/>
    <w:lvl w:ilvl="0" w:tplc="9D042354">
      <w:start w:val="1"/>
      <w:numFmt w:val="upperLetter"/>
      <w:lvlText w:val="(%1)"/>
      <w:lvlJc w:val="left"/>
      <w:pPr>
        <w:ind w:left="750" w:hanging="39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6">
    <w:nsid w:val="2E7C16C7"/>
    <w:multiLevelType w:val="hybridMultilevel"/>
    <w:tmpl w:val="122C9EBE"/>
    <w:lvl w:ilvl="0" w:tplc="1809001B">
      <w:start w:val="1"/>
      <w:numFmt w:val="lowerRoman"/>
      <w:lvlText w:val="%1."/>
      <w:lvlJc w:val="righ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nsid w:val="2F5A416C"/>
    <w:multiLevelType w:val="hybridMultilevel"/>
    <w:tmpl w:val="0F36F11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8">
    <w:nsid w:val="345A29AA"/>
    <w:multiLevelType w:val="hybridMultilevel"/>
    <w:tmpl w:val="3E0CC1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5013599"/>
    <w:multiLevelType w:val="hybridMultilevel"/>
    <w:tmpl w:val="E174CB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BD22069"/>
    <w:multiLevelType w:val="hybridMultilevel"/>
    <w:tmpl w:val="43187BC6"/>
    <w:lvl w:ilvl="0" w:tplc="1809001B">
      <w:start w:val="1"/>
      <w:numFmt w:val="lowerRoman"/>
      <w:lvlText w:val="%1."/>
      <w:lvlJc w:val="righ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1">
    <w:nsid w:val="3D3432EF"/>
    <w:multiLevelType w:val="hybridMultilevel"/>
    <w:tmpl w:val="61C09EA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2">
    <w:nsid w:val="42737AA3"/>
    <w:multiLevelType w:val="hybridMultilevel"/>
    <w:tmpl w:val="4726F2CE"/>
    <w:lvl w:ilvl="0" w:tplc="1809001B">
      <w:start w:val="1"/>
      <w:numFmt w:val="lowerRoman"/>
      <w:lvlText w:val="%1."/>
      <w:lvlJc w:val="righ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3">
    <w:nsid w:val="47BB12C4"/>
    <w:multiLevelType w:val="hybridMultilevel"/>
    <w:tmpl w:val="13EC9B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8FF1E62"/>
    <w:multiLevelType w:val="hybridMultilevel"/>
    <w:tmpl w:val="8912E4B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5">
    <w:nsid w:val="4E931314"/>
    <w:multiLevelType w:val="hybridMultilevel"/>
    <w:tmpl w:val="38A6C5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FA95A0D"/>
    <w:multiLevelType w:val="hybridMultilevel"/>
    <w:tmpl w:val="F4C2826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7">
    <w:nsid w:val="566D4B8C"/>
    <w:multiLevelType w:val="hybridMultilevel"/>
    <w:tmpl w:val="ECD41C2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8">
    <w:nsid w:val="56F52BF1"/>
    <w:multiLevelType w:val="hybridMultilevel"/>
    <w:tmpl w:val="E64C81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AE25B43"/>
    <w:multiLevelType w:val="hybridMultilevel"/>
    <w:tmpl w:val="BC3256CE"/>
    <w:lvl w:ilvl="0" w:tplc="1809001B">
      <w:start w:val="1"/>
      <w:numFmt w:val="lowerRoman"/>
      <w:lvlText w:val="%1."/>
      <w:lvlJc w:val="righ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0">
    <w:nsid w:val="5B453379"/>
    <w:multiLevelType w:val="hybridMultilevel"/>
    <w:tmpl w:val="D8B408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6C851D6"/>
    <w:multiLevelType w:val="hybridMultilevel"/>
    <w:tmpl w:val="8CBA47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CA6794D"/>
    <w:multiLevelType w:val="hybridMultilevel"/>
    <w:tmpl w:val="A1048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0B81FAF"/>
    <w:multiLevelType w:val="hybridMultilevel"/>
    <w:tmpl w:val="578CFB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41E6A91"/>
    <w:multiLevelType w:val="hybridMultilevel"/>
    <w:tmpl w:val="433479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81A4943"/>
    <w:multiLevelType w:val="multilevel"/>
    <w:tmpl w:val="D50E336A"/>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9507"/>
        </w:tabs>
        <w:ind w:left="9507"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6109"/>
        </w:tabs>
        <w:ind w:left="6109"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36">
    <w:nsid w:val="79B56BE6"/>
    <w:multiLevelType w:val="hybridMultilevel"/>
    <w:tmpl w:val="6A3052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FC341A7"/>
    <w:multiLevelType w:val="hybridMultilevel"/>
    <w:tmpl w:val="F112ED7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abstractNumId w:val="35"/>
  </w:num>
  <w:num w:numId="2">
    <w:abstractNumId w:val="20"/>
  </w:num>
  <w:num w:numId="3">
    <w:abstractNumId w:val="22"/>
  </w:num>
  <w:num w:numId="4">
    <w:abstractNumId w:val="17"/>
  </w:num>
  <w:num w:numId="5">
    <w:abstractNumId w:val="16"/>
  </w:num>
  <w:num w:numId="6">
    <w:abstractNumId w:val="29"/>
  </w:num>
  <w:num w:numId="7">
    <w:abstractNumId w:val="37"/>
  </w:num>
  <w:num w:numId="8">
    <w:abstractNumId w:val="24"/>
  </w:num>
  <w:num w:numId="9">
    <w:abstractNumId w:val="2"/>
  </w:num>
  <w:num w:numId="10">
    <w:abstractNumId w:val="13"/>
  </w:num>
  <w:num w:numId="11">
    <w:abstractNumId w:val="9"/>
  </w:num>
  <w:num w:numId="12">
    <w:abstractNumId w:val="15"/>
  </w:num>
  <w:num w:numId="13">
    <w:abstractNumId w:val="26"/>
  </w:num>
  <w:num w:numId="14">
    <w:abstractNumId w:val="21"/>
  </w:num>
  <w:num w:numId="15">
    <w:abstractNumId w:val="27"/>
  </w:num>
  <w:num w:numId="16">
    <w:abstractNumId w:val="14"/>
  </w:num>
  <w:num w:numId="17">
    <w:abstractNumId w:val="36"/>
  </w:num>
  <w:num w:numId="18">
    <w:abstractNumId w:val="12"/>
  </w:num>
  <w:num w:numId="19">
    <w:abstractNumId w:val="32"/>
  </w:num>
  <w:num w:numId="20">
    <w:abstractNumId w:val="5"/>
  </w:num>
  <w:num w:numId="21">
    <w:abstractNumId w:val="7"/>
  </w:num>
  <w:num w:numId="22">
    <w:abstractNumId w:val="4"/>
  </w:num>
  <w:num w:numId="23">
    <w:abstractNumId w:val="4"/>
  </w:num>
  <w:num w:numId="24">
    <w:abstractNumId w:val="33"/>
  </w:num>
  <w:num w:numId="25">
    <w:abstractNumId w:val="18"/>
  </w:num>
  <w:num w:numId="26">
    <w:abstractNumId w:val="25"/>
  </w:num>
  <w:num w:numId="27">
    <w:abstractNumId w:val="23"/>
  </w:num>
  <w:num w:numId="28">
    <w:abstractNumId w:val="30"/>
  </w:num>
  <w:num w:numId="29">
    <w:abstractNumId w:val="10"/>
  </w:num>
  <w:num w:numId="30">
    <w:abstractNumId w:val="31"/>
  </w:num>
  <w:num w:numId="31">
    <w:abstractNumId w:val="8"/>
  </w:num>
  <w:num w:numId="32">
    <w:abstractNumId w:val="6"/>
  </w:num>
  <w:num w:numId="33">
    <w:abstractNumId w:val="19"/>
  </w:num>
  <w:num w:numId="34">
    <w:abstractNumId w:val="0"/>
  </w:num>
  <w:num w:numId="35">
    <w:abstractNumId w:val="28"/>
  </w:num>
  <w:num w:numId="36">
    <w:abstractNumId w:val="34"/>
  </w:num>
  <w:num w:numId="37">
    <w:abstractNumId w:val="1"/>
  </w:num>
  <w:num w:numId="38">
    <w:abstractNumId w:val="3"/>
  </w:num>
  <w:num w:numId="3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4"/>
  </w:num>
  <w:num w:numId="41">
    <w:abstractNumId w:val="1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0&lt;/ScanChanges&gt;&lt;Suspended&gt;0&lt;/Suspended&gt;&lt;/ENInstantFormat&gt;"/>
    <w:docVar w:name="EN.Layout" w:val="&lt;ENLayout&gt;&lt;Style&gt;Hydro Earth Sys Sci (edit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dswvr2vdivtsvfepswzvft9gtsxe5zxfaavp&quot;&gt;Lit&lt;record-ids&gt;&lt;item&gt;50&lt;/item&gt;&lt;item&gt;51&lt;/item&gt;&lt;item&gt;62&lt;/item&gt;&lt;item&gt;116&lt;/item&gt;&lt;item&gt;122&lt;/item&gt;&lt;item&gt;135&lt;/item&gt;&lt;item&gt;258&lt;/item&gt;&lt;item&gt;321&lt;/item&gt;&lt;item&gt;329&lt;/item&gt;&lt;item&gt;330&lt;/item&gt;&lt;item&gt;347&lt;/item&gt;&lt;item&gt;383&lt;/item&gt;&lt;item&gt;386&lt;/item&gt;&lt;item&gt;405&lt;/item&gt;&lt;item&gt;412&lt;/item&gt;&lt;item&gt;443&lt;/item&gt;&lt;item&gt;444&lt;/item&gt;&lt;item&gt;445&lt;/item&gt;&lt;item&gt;456&lt;/item&gt;&lt;item&gt;458&lt;/item&gt;&lt;item&gt;460&lt;/item&gt;&lt;item&gt;463&lt;/item&gt;&lt;item&gt;466&lt;/item&gt;&lt;item&gt;471&lt;/item&gt;&lt;item&gt;472&lt;/item&gt;&lt;item&gt;473&lt;/item&gt;&lt;item&gt;474&lt;/item&gt;&lt;item&gt;488&lt;/item&gt;&lt;item&gt;489&lt;/item&gt;&lt;item&gt;490&lt;/item&gt;&lt;item&gt;493&lt;/item&gt;&lt;item&gt;540&lt;/item&gt;&lt;item&gt;541&lt;/item&gt;&lt;item&gt;542&lt;/item&gt;&lt;item&gt;543&lt;/item&gt;&lt;item&gt;544&lt;/item&gt;&lt;item&gt;546&lt;/item&gt;&lt;item&gt;547&lt;/item&gt;&lt;item&gt;551&lt;/item&gt;&lt;item&gt;552&lt;/item&gt;&lt;item&gt;555&lt;/item&gt;&lt;item&gt;590&lt;/item&gt;&lt;/record-ids&gt;&lt;/item&gt;&lt;/Libraries&gt;"/>
  </w:docVars>
  <w:rsids>
    <w:rsidRoot w:val="00A33C7C"/>
    <w:rsid w:val="00000360"/>
    <w:rsid w:val="00000DC3"/>
    <w:rsid w:val="000016B3"/>
    <w:rsid w:val="00001C34"/>
    <w:rsid w:val="00002523"/>
    <w:rsid w:val="00002BD9"/>
    <w:rsid w:val="00002CA8"/>
    <w:rsid w:val="000039EE"/>
    <w:rsid w:val="00003AC7"/>
    <w:rsid w:val="000060DF"/>
    <w:rsid w:val="000077A1"/>
    <w:rsid w:val="00010085"/>
    <w:rsid w:val="000109EA"/>
    <w:rsid w:val="00011CB2"/>
    <w:rsid w:val="0001206C"/>
    <w:rsid w:val="00014C2C"/>
    <w:rsid w:val="000162C7"/>
    <w:rsid w:val="000176F0"/>
    <w:rsid w:val="00023401"/>
    <w:rsid w:val="00023B46"/>
    <w:rsid w:val="0002497A"/>
    <w:rsid w:val="00024AD2"/>
    <w:rsid w:val="00024EBD"/>
    <w:rsid w:val="0002564F"/>
    <w:rsid w:val="00025677"/>
    <w:rsid w:val="00030381"/>
    <w:rsid w:val="00031299"/>
    <w:rsid w:val="000314E8"/>
    <w:rsid w:val="00031D8F"/>
    <w:rsid w:val="00031F26"/>
    <w:rsid w:val="00031F99"/>
    <w:rsid w:val="000323FF"/>
    <w:rsid w:val="00033924"/>
    <w:rsid w:val="00033CFF"/>
    <w:rsid w:val="00033DAE"/>
    <w:rsid w:val="00034E6F"/>
    <w:rsid w:val="00036926"/>
    <w:rsid w:val="00040060"/>
    <w:rsid w:val="00040C6E"/>
    <w:rsid w:val="00041446"/>
    <w:rsid w:val="00043C5C"/>
    <w:rsid w:val="0004409D"/>
    <w:rsid w:val="00044D5E"/>
    <w:rsid w:val="00051B5B"/>
    <w:rsid w:val="00053C13"/>
    <w:rsid w:val="00054929"/>
    <w:rsid w:val="00054BE0"/>
    <w:rsid w:val="00054D33"/>
    <w:rsid w:val="00054F51"/>
    <w:rsid w:val="00055E8F"/>
    <w:rsid w:val="000570E7"/>
    <w:rsid w:val="0005728A"/>
    <w:rsid w:val="00060E9E"/>
    <w:rsid w:val="0006206C"/>
    <w:rsid w:val="000640B5"/>
    <w:rsid w:val="00065D2B"/>
    <w:rsid w:val="000667F2"/>
    <w:rsid w:val="00066BE4"/>
    <w:rsid w:val="00070F9B"/>
    <w:rsid w:val="000710D8"/>
    <w:rsid w:val="0007110B"/>
    <w:rsid w:val="00073401"/>
    <w:rsid w:val="00073D72"/>
    <w:rsid w:val="00073FE0"/>
    <w:rsid w:val="0007531B"/>
    <w:rsid w:val="00075F68"/>
    <w:rsid w:val="000763EE"/>
    <w:rsid w:val="00076A59"/>
    <w:rsid w:val="0007775D"/>
    <w:rsid w:val="00082971"/>
    <w:rsid w:val="000852BF"/>
    <w:rsid w:val="000857EB"/>
    <w:rsid w:val="00085BEB"/>
    <w:rsid w:val="00086013"/>
    <w:rsid w:val="0008702E"/>
    <w:rsid w:val="000876F5"/>
    <w:rsid w:val="000878D0"/>
    <w:rsid w:val="00087C32"/>
    <w:rsid w:val="00090137"/>
    <w:rsid w:val="000919A9"/>
    <w:rsid w:val="00094893"/>
    <w:rsid w:val="00094EE2"/>
    <w:rsid w:val="00095CA4"/>
    <w:rsid w:val="00096D61"/>
    <w:rsid w:val="00097143"/>
    <w:rsid w:val="00097394"/>
    <w:rsid w:val="000A1970"/>
    <w:rsid w:val="000A1991"/>
    <w:rsid w:val="000A2715"/>
    <w:rsid w:val="000A4029"/>
    <w:rsid w:val="000A5A1B"/>
    <w:rsid w:val="000A6539"/>
    <w:rsid w:val="000A6D8B"/>
    <w:rsid w:val="000B0720"/>
    <w:rsid w:val="000B0C19"/>
    <w:rsid w:val="000B18AF"/>
    <w:rsid w:val="000B18DF"/>
    <w:rsid w:val="000B378A"/>
    <w:rsid w:val="000B3957"/>
    <w:rsid w:val="000B42E3"/>
    <w:rsid w:val="000B457C"/>
    <w:rsid w:val="000B4DAD"/>
    <w:rsid w:val="000B5B86"/>
    <w:rsid w:val="000B6225"/>
    <w:rsid w:val="000B645A"/>
    <w:rsid w:val="000B6AE2"/>
    <w:rsid w:val="000B6AF5"/>
    <w:rsid w:val="000C0F6C"/>
    <w:rsid w:val="000C1325"/>
    <w:rsid w:val="000C3B0E"/>
    <w:rsid w:val="000C5CA4"/>
    <w:rsid w:val="000C5D5D"/>
    <w:rsid w:val="000C5FFF"/>
    <w:rsid w:val="000C62B9"/>
    <w:rsid w:val="000C6413"/>
    <w:rsid w:val="000C7CF7"/>
    <w:rsid w:val="000D045C"/>
    <w:rsid w:val="000D1D5B"/>
    <w:rsid w:val="000D2FAC"/>
    <w:rsid w:val="000D5721"/>
    <w:rsid w:val="000D651A"/>
    <w:rsid w:val="000E118F"/>
    <w:rsid w:val="000E12AF"/>
    <w:rsid w:val="000E1D85"/>
    <w:rsid w:val="000E2956"/>
    <w:rsid w:val="000E2C7D"/>
    <w:rsid w:val="000E2E54"/>
    <w:rsid w:val="000E3A01"/>
    <w:rsid w:val="000E3CD0"/>
    <w:rsid w:val="000E4AC0"/>
    <w:rsid w:val="000F020A"/>
    <w:rsid w:val="000F04DF"/>
    <w:rsid w:val="000F1587"/>
    <w:rsid w:val="000F2DD5"/>
    <w:rsid w:val="000F3CF7"/>
    <w:rsid w:val="000F420A"/>
    <w:rsid w:val="000F4C42"/>
    <w:rsid w:val="000F5531"/>
    <w:rsid w:val="000F79A7"/>
    <w:rsid w:val="0010042A"/>
    <w:rsid w:val="0010188C"/>
    <w:rsid w:val="00102CC1"/>
    <w:rsid w:val="00103ADA"/>
    <w:rsid w:val="00104EBB"/>
    <w:rsid w:val="001051E1"/>
    <w:rsid w:val="001067AB"/>
    <w:rsid w:val="00106AA9"/>
    <w:rsid w:val="00107EC9"/>
    <w:rsid w:val="00110A74"/>
    <w:rsid w:val="00113097"/>
    <w:rsid w:val="00113F52"/>
    <w:rsid w:val="00114985"/>
    <w:rsid w:val="00114F3D"/>
    <w:rsid w:val="00121FB6"/>
    <w:rsid w:val="001239E8"/>
    <w:rsid w:val="001245C7"/>
    <w:rsid w:val="00124B09"/>
    <w:rsid w:val="001251E7"/>
    <w:rsid w:val="001252F9"/>
    <w:rsid w:val="00125307"/>
    <w:rsid w:val="00125AB6"/>
    <w:rsid w:val="0012608A"/>
    <w:rsid w:val="001278FB"/>
    <w:rsid w:val="00127EEF"/>
    <w:rsid w:val="00131F92"/>
    <w:rsid w:val="001322CF"/>
    <w:rsid w:val="00133148"/>
    <w:rsid w:val="001339A5"/>
    <w:rsid w:val="00134081"/>
    <w:rsid w:val="001342F4"/>
    <w:rsid w:val="0013431B"/>
    <w:rsid w:val="00134889"/>
    <w:rsid w:val="00134D3E"/>
    <w:rsid w:val="00134F71"/>
    <w:rsid w:val="00140BF8"/>
    <w:rsid w:val="00141324"/>
    <w:rsid w:val="0014334E"/>
    <w:rsid w:val="0014344E"/>
    <w:rsid w:val="00143949"/>
    <w:rsid w:val="00143C27"/>
    <w:rsid w:val="001445E8"/>
    <w:rsid w:val="00144A10"/>
    <w:rsid w:val="00145095"/>
    <w:rsid w:val="001472DC"/>
    <w:rsid w:val="00151607"/>
    <w:rsid w:val="001538C2"/>
    <w:rsid w:val="00154566"/>
    <w:rsid w:val="00154CE5"/>
    <w:rsid w:val="0015523C"/>
    <w:rsid w:val="0015585F"/>
    <w:rsid w:val="001563F6"/>
    <w:rsid w:val="001570C1"/>
    <w:rsid w:val="00160491"/>
    <w:rsid w:val="001605FC"/>
    <w:rsid w:val="00161134"/>
    <w:rsid w:val="00161195"/>
    <w:rsid w:val="0016128C"/>
    <w:rsid w:val="0016243D"/>
    <w:rsid w:val="0016354F"/>
    <w:rsid w:val="00163D70"/>
    <w:rsid w:val="00167219"/>
    <w:rsid w:val="0016722E"/>
    <w:rsid w:val="00167A90"/>
    <w:rsid w:val="001702A7"/>
    <w:rsid w:val="00171520"/>
    <w:rsid w:val="00171667"/>
    <w:rsid w:val="00171EA0"/>
    <w:rsid w:val="00173BFF"/>
    <w:rsid w:val="00174BD3"/>
    <w:rsid w:val="00175212"/>
    <w:rsid w:val="0017661E"/>
    <w:rsid w:val="00176D3D"/>
    <w:rsid w:val="00177FF6"/>
    <w:rsid w:val="001842FC"/>
    <w:rsid w:val="0018511A"/>
    <w:rsid w:val="001864A8"/>
    <w:rsid w:val="00186F25"/>
    <w:rsid w:val="00187366"/>
    <w:rsid w:val="00190607"/>
    <w:rsid w:val="00190BBE"/>
    <w:rsid w:val="001914DA"/>
    <w:rsid w:val="00191BE0"/>
    <w:rsid w:val="00192DFD"/>
    <w:rsid w:val="001941F6"/>
    <w:rsid w:val="00194983"/>
    <w:rsid w:val="001A0D9F"/>
    <w:rsid w:val="001A0E21"/>
    <w:rsid w:val="001A1CD0"/>
    <w:rsid w:val="001A28EB"/>
    <w:rsid w:val="001A2BFB"/>
    <w:rsid w:val="001A36D3"/>
    <w:rsid w:val="001A3C5C"/>
    <w:rsid w:val="001A474E"/>
    <w:rsid w:val="001A5517"/>
    <w:rsid w:val="001A6C03"/>
    <w:rsid w:val="001A73FE"/>
    <w:rsid w:val="001B0CCB"/>
    <w:rsid w:val="001B1072"/>
    <w:rsid w:val="001B1129"/>
    <w:rsid w:val="001B1EFC"/>
    <w:rsid w:val="001B2205"/>
    <w:rsid w:val="001B2518"/>
    <w:rsid w:val="001B48C8"/>
    <w:rsid w:val="001B4AC3"/>
    <w:rsid w:val="001B4ACB"/>
    <w:rsid w:val="001B5576"/>
    <w:rsid w:val="001C0317"/>
    <w:rsid w:val="001C0B37"/>
    <w:rsid w:val="001C115F"/>
    <w:rsid w:val="001C179F"/>
    <w:rsid w:val="001C1EF2"/>
    <w:rsid w:val="001C49D7"/>
    <w:rsid w:val="001C53DA"/>
    <w:rsid w:val="001C5522"/>
    <w:rsid w:val="001C63FC"/>
    <w:rsid w:val="001C6AA1"/>
    <w:rsid w:val="001C6B0E"/>
    <w:rsid w:val="001C79A5"/>
    <w:rsid w:val="001D1183"/>
    <w:rsid w:val="001D1700"/>
    <w:rsid w:val="001D1930"/>
    <w:rsid w:val="001D3D13"/>
    <w:rsid w:val="001D49A9"/>
    <w:rsid w:val="001D5209"/>
    <w:rsid w:val="001D7DDF"/>
    <w:rsid w:val="001E0222"/>
    <w:rsid w:val="001E0E6A"/>
    <w:rsid w:val="001E19B5"/>
    <w:rsid w:val="001E2C48"/>
    <w:rsid w:val="001E47AB"/>
    <w:rsid w:val="001E5755"/>
    <w:rsid w:val="001E745E"/>
    <w:rsid w:val="001E7DBE"/>
    <w:rsid w:val="001F0073"/>
    <w:rsid w:val="001F073F"/>
    <w:rsid w:val="001F31F6"/>
    <w:rsid w:val="001F46B8"/>
    <w:rsid w:val="001F6595"/>
    <w:rsid w:val="001F6600"/>
    <w:rsid w:val="001F6ECC"/>
    <w:rsid w:val="001F7DF1"/>
    <w:rsid w:val="00200244"/>
    <w:rsid w:val="0020053A"/>
    <w:rsid w:val="00201DBE"/>
    <w:rsid w:val="00201E9D"/>
    <w:rsid w:val="00201F6B"/>
    <w:rsid w:val="00202715"/>
    <w:rsid w:val="00203C7F"/>
    <w:rsid w:val="00203E61"/>
    <w:rsid w:val="0020402C"/>
    <w:rsid w:val="002053E4"/>
    <w:rsid w:val="00205418"/>
    <w:rsid w:val="002061D5"/>
    <w:rsid w:val="0020623C"/>
    <w:rsid w:val="00211C05"/>
    <w:rsid w:val="00212428"/>
    <w:rsid w:val="00212718"/>
    <w:rsid w:val="00212769"/>
    <w:rsid w:val="002136B7"/>
    <w:rsid w:val="0021481D"/>
    <w:rsid w:val="002164A9"/>
    <w:rsid w:val="002165FD"/>
    <w:rsid w:val="002175CD"/>
    <w:rsid w:val="00221D14"/>
    <w:rsid w:val="00223E58"/>
    <w:rsid w:val="00225C0D"/>
    <w:rsid w:val="0022684B"/>
    <w:rsid w:val="002271E9"/>
    <w:rsid w:val="00227CEC"/>
    <w:rsid w:val="00230DD1"/>
    <w:rsid w:val="00232EA8"/>
    <w:rsid w:val="002331FF"/>
    <w:rsid w:val="00233BF8"/>
    <w:rsid w:val="00233E5D"/>
    <w:rsid w:val="00234389"/>
    <w:rsid w:val="00234A14"/>
    <w:rsid w:val="00234B2D"/>
    <w:rsid w:val="00234DAF"/>
    <w:rsid w:val="002353ED"/>
    <w:rsid w:val="00235B62"/>
    <w:rsid w:val="00236132"/>
    <w:rsid w:val="00236A90"/>
    <w:rsid w:val="00237823"/>
    <w:rsid w:val="00237A26"/>
    <w:rsid w:val="002403EC"/>
    <w:rsid w:val="00240432"/>
    <w:rsid w:val="00242E2C"/>
    <w:rsid w:val="002431AC"/>
    <w:rsid w:val="002439A8"/>
    <w:rsid w:val="00243B55"/>
    <w:rsid w:val="00244BE0"/>
    <w:rsid w:val="00245A5F"/>
    <w:rsid w:val="0024604F"/>
    <w:rsid w:val="002461BF"/>
    <w:rsid w:val="00247D76"/>
    <w:rsid w:val="0025091A"/>
    <w:rsid w:val="00251BAA"/>
    <w:rsid w:val="0025265F"/>
    <w:rsid w:val="002529AB"/>
    <w:rsid w:val="0025363B"/>
    <w:rsid w:val="00254E7C"/>
    <w:rsid w:val="002558E7"/>
    <w:rsid w:val="00255A2B"/>
    <w:rsid w:val="002575E5"/>
    <w:rsid w:val="00257B28"/>
    <w:rsid w:val="0026133A"/>
    <w:rsid w:val="00261B73"/>
    <w:rsid w:val="0026239C"/>
    <w:rsid w:val="002627A5"/>
    <w:rsid w:val="002634FD"/>
    <w:rsid w:val="002649F4"/>
    <w:rsid w:val="00265A84"/>
    <w:rsid w:val="00265CD4"/>
    <w:rsid w:val="00266141"/>
    <w:rsid w:val="00267675"/>
    <w:rsid w:val="00267CF9"/>
    <w:rsid w:val="00267EBD"/>
    <w:rsid w:val="00270ED0"/>
    <w:rsid w:val="00270FE4"/>
    <w:rsid w:val="002732F4"/>
    <w:rsid w:val="00273A51"/>
    <w:rsid w:val="00274C3E"/>
    <w:rsid w:val="00275C7A"/>
    <w:rsid w:val="00277858"/>
    <w:rsid w:val="00277E87"/>
    <w:rsid w:val="00280231"/>
    <w:rsid w:val="00280337"/>
    <w:rsid w:val="00281D13"/>
    <w:rsid w:val="00283DB9"/>
    <w:rsid w:val="002929B3"/>
    <w:rsid w:val="00294116"/>
    <w:rsid w:val="00294945"/>
    <w:rsid w:val="002A0896"/>
    <w:rsid w:val="002A18C9"/>
    <w:rsid w:val="002A1DCE"/>
    <w:rsid w:val="002A210C"/>
    <w:rsid w:val="002A2361"/>
    <w:rsid w:val="002A2AF4"/>
    <w:rsid w:val="002A2F7A"/>
    <w:rsid w:val="002A3C01"/>
    <w:rsid w:val="002A4F2B"/>
    <w:rsid w:val="002A57ED"/>
    <w:rsid w:val="002A5B4F"/>
    <w:rsid w:val="002A5D53"/>
    <w:rsid w:val="002A72DF"/>
    <w:rsid w:val="002A7566"/>
    <w:rsid w:val="002B3942"/>
    <w:rsid w:val="002B57D6"/>
    <w:rsid w:val="002B5A5C"/>
    <w:rsid w:val="002B615F"/>
    <w:rsid w:val="002B798A"/>
    <w:rsid w:val="002C02BA"/>
    <w:rsid w:val="002C1FAD"/>
    <w:rsid w:val="002C1FB7"/>
    <w:rsid w:val="002C3442"/>
    <w:rsid w:val="002C3589"/>
    <w:rsid w:val="002C3F6F"/>
    <w:rsid w:val="002C5BFE"/>
    <w:rsid w:val="002C6101"/>
    <w:rsid w:val="002C6468"/>
    <w:rsid w:val="002C736E"/>
    <w:rsid w:val="002C75BA"/>
    <w:rsid w:val="002C7A6B"/>
    <w:rsid w:val="002D0801"/>
    <w:rsid w:val="002D1440"/>
    <w:rsid w:val="002D1E70"/>
    <w:rsid w:val="002D2C15"/>
    <w:rsid w:val="002D3716"/>
    <w:rsid w:val="002D5029"/>
    <w:rsid w:val="002E258D"/>
    <w:rsid w:val="002E2843"/>
    <w:rsid w:val="002E29EA"/>
    <w:rsid w:val="002E2F8E"/>
    <w:rsid w:val="002E30BD"/>
    <w:rsid w:val="002E55C5"/>
    <w:rsid w:val="002E588F"/>
    <w:rsid w:val="002E5D80"/>
    <w:rsid w:val="002E7504"/>
    <w:rsid w:val="002E78C1"/>
    <w:rsid w:val="002E7956"/>
    <w:rsid w:val="002F2845"/>
    <w:rsid w:val="002F345C"/>
    <w:rsid w:val="002F3917"/>
    <w:rsid w:val="002F424D"/>
    <w:rsid w:val="002F5572"/>
    <w:rsid w:val="002F65ED"/>
    <w:rsid w:val="0030004E"/>
    <w:rsid w:val="00303078"/>
    <w:rsid w:val="0030325B"/>
    <w:rsid w:val="00304A1B"/>
    <w:rsid w:val="00305087"/>
    <w:rsid w:val="00305938"/>
    <w:rsid w:val="00305A4D"/>
    <w:rsid w:val="00306F2F"/>
    <w:rsid w:val="003108E3"/>
    <w:rsid w:val="0031109D"/>
    <w:rsid w:val="003120AC"/>
    <w:rsid w:val="003145C8"/>
    <w:rsid w:val="003161A4"/>
    <w:rsid w:val="00320D1D"/>
    <w:rsid w:val="003231E7"/>
    <w:rsid w:val="00323950"/>
    <w:rsid w:val="00323A7D"/>
    <w:rsid w:val="0032442F"/>
    <w:rsid w:val="00324557"/>
    <w:rsid w:val="003246D8"/>
    <w:rsid w:val="00325254"/>
    <w:rsid w:val="003253E9"/>
    <w:rsid w:val="0032621E"/>
    <w:rsid w:val="00326684"/>
    <w:rsid w:val="0033012E"/>
    <w:rsid w:val="00330316"/>
    <w:rsid w:val="00330ECB"/>
    <w:rsid w:val="00331868"/>
    <w:rsid w:val="003318D3"/>
    <w:rsid w:val="00331CA4"/>
    <w:rsid w:val="00333C20"/>
    <w:rsid w:val="0033515F"/>
    <w:rsid w:val="0034381F"/>
    <w:rsid w:val="0034609F"/>
    <w:rsid w:val="003501EB"/>
    <w:rsid w:val="00350DC7"/>
    <w:rsid w:val="00350E8B"/>
    <w:rsid w:val="00351144"/>
    <w:rsid w:val="0035254C"/>
    <w:rsid w:val="00353A5C"/>
    <w:rsid w:val="00354290"/>
    <w:rsid w:val="00355858"/>
    <w:rsid w:val="00356228"/>
    <w:rsid w:val="00356E77"/>
    <w:rsid w:val="0035797D"/>
    <w:rsid w:val="00357BE7"/>
    <w:rsid w:val="00360012"/>
    <w:rsid w:val="00360BA8"/>
    <w:rsid w:val="00363BDC"/>
    <w:rsid w:val="00365688"/>
    <w:rsid w:val="00365C26"/>
    <w:rsid w:val="00367B6E"/>
    <w:rsid w:val="00370242"/>
    <w:rsid w:val="00370534"/>
    <w:rsid w:val="00372C25"/>
    <w:rsid w:val="00373E7E"/>
    <w:rsid w:val="00373FDC"/>
    <w:rsid w:val="00374017"/>
    <w:rsid w:val="00374B87"/>
    <w:rsid w:val="00375434"/>
    <w:rsid w:val="00375F8E"/>
    <w:rsid w:val="003770AA"/>
    <w:rsid w:val="00377EB3"/>
    <w:rsid w:val="003800F4"/>
    <w:rsid w:val="00380337"/>
    <w:rsid w:val="0038219D"/>
    <w:rsid w:val="0038220C"/>
    <w:rsid w:val="00383506"/>
    <w:rsid w:val="003847B6"/>
    <w:rsid w:val="0038625D"/>
    <w:rsid w:val="00386775"/>
    <w:rsid w:val="00386816"/>
    <w:rsid w:val="00387418"/>
    <w:rsid w:val="00391DCF"/>
    <w:rsid w:val="0039315F"/>
    <w:rsid w:val="00394348"/>
    <w:rsid w:val="00394581"/>
    <w:rsid w:val="00395261"/>
    <w:rsid w:val="003960DC"/>
    <w:rsid w:val="003967F1"/>
    <w:rsid w:val="0039748D"/>
    <w:rsid w:val="003974DB"/>
    <w:rsid w:val="003A1636"/>
    <w:rsid w:val="003A1727"/>
    <w:rsid w:val="003A1E46"/>
    <w:rsid w:val="003A1E8E"/>
    <w:rsid w:val="003A2A8C"/>
    <w:rsid w:val="003A2C26"/>
    <w:rsid w:val="003A38CA"/>
    <w:rsid w:val="003A4FAD"/>
    <w:rsid w:val="003A51C6"/>
    <w:rsid w:val="003A54B7"/>
    <w:rsid w:val="003A55A5"/>
    <w:rsid w:val="003A57F0"/>
    <w:rsid w:val="003A6EE0"/>
    <w:rsid w:val="003A729E"/>
    <w:rsid w:val="003A7CEB"/>
    <w:rsid w:val="003B0AD8"/>
    <w:rsid w:val="003B0E86"/>
    <w:rsid w:val="003B1D73"/>
    <w:rsid w:val="003B2019"/>
    <w:rsid w:val="003B3C84"/>
    <w:rsid w:val="003B4FA9"/>
    <w:rsid w:val="003B6145"/>
    <w:rsid w:val="003B783C"/>
    <w:rsid w:val="003B7F2F"/>
    <w:rsid w:val="003C153A"/>
    <w:rsid w:val="003C1D93"/>
    <w:rsid w:val="003C2776"/>
    <w:rsid w:val="003C41E2"/>
    <w:rsid w:val="003C489E"/>
    <w:rsid w:val="003C60DC"/>
    <w:rsid w:val="003C683C"/>
    <w:rsid w:val="003C724A"/>
    <w:rsid w:val="003C7699"/>
    <w:rsid w:val="003C7AB7"/>
    <w:rsid w:val="003D080E"/>
    <w:rsid w:val="003D1281"/>
    <w:rsid w:val="003D15DB"/>
    <w:rsid w:val="003D1716"/>
    <w:rsid w:val="003D30AC"/>
    <w:rsid w:val="003D336E"/>
    <w:rsid w:val="003D3C9F"/>
    <w:rsid w:val="003D44C8"/>
    <w:rsid w:val="003D5CF0"/>
    <w:rsid w:val="003D5F1A"/>
    <w:rsid w:val="003D63BB"/>
    <w:rsid w:val="003D654A"/>
    <w:rsid w:val="003D6C1F"/>
    <w:rsid w:val="003D753D"/>
    <w:rsid w:val="003E2893"/>
    <w:rsid w:val="003E32FC"/>
    <w:rsid w:val="003E3FEB"/>
    <w:rsid w:val="003E47A1"/>
    <w:rsid w:val="003E5A0E"/>
    <w:rsid w:val="003E5B0E"/>
    <w:rsid w:val="003E624D"/>
    <w:rsid w:val="003E6A12"/>
    <w:rsid w:val="003E76F4"/>
    <w:rsid w:val="003F2339"/>
    <w:rsid w:val="003F237A"/>
    <w:rsid w:val="003F3E8E"/>
    <w:rsid w:val="003F4130"/>
    <w:rsid w:val="003F447F"/>
    <w:rsid w:val="003F47BE"/>
    <w:rsid w:val="003F62B4"/>
    <w:rsid w:val="003F6BEA"/>
    <w:rsid w:val="00400583"/>
    <w:rsid w:val="00401116"/>
    <w:rsid w:val="0040253F"/>
    <w:rsid w:val="00403D2F"/>
    <w:rsid w:val="00404A69"/>
    <w:rsid w:val="0040508C"/>
    <w:rsid w:val="004051F9"/>
    <w:rsid w:val="004057EA"/>
    <w:rsid w:val="00406787"/>
    <w:rsid w:val="00407EFE"/>
    <w:rsid w:val="004104D7"/>
    <w:rsid w:val="00410C30"/>
    <w:rsid w:val="00411C13"/>
    <w:rsid w:val="004123E8"/>
    <w:rsid w:val="0041306B"/>
    <w:rsid w:val="00414A33"/>
    <w:rsid w:val="00414DFE"/>
    <w:rsid w:val="0041726D"/>
    <w:rsid w:val="004223CD"/>
    <w:rsid w:val="00422EEF"/>
    <w:rsid w:val="004260CD"/>
    <w:rsid w:val="004275DC"/>
    <w:rsid w:val="004275E7"/>
    <w:rsid w:val="00427DF7"/>
    <w:rsid w:val="004306B8"/>
    <w:rsid w:val="00430D75"/>
    <w:rsid w:val="0043137D"/>
    <w:rsid w:val="004315CA"/>
    <w:rsid w:val="00432AB0"/>
    <w:rsid w:val="00432D63"/>
    <w:rsid w:val="004351C0"/>
    <w:rsid w:val="0043546F"/>
    <w:rsid w:val="004369A8"/>
    <w:rsid w:val="00436F8C"/>
    <w:rsid w:val="0043783C"/>
    <w:rsid w:val="00437B16"/>
    <w:rsid w:val="00437C99"/>
    <w:rsid w:val="00440295"/>
    <w:rsid w:val="00443162"/>
    <w:rsid w:val="00443E1C"/>
    <w:rsid w:val="00445E84"/>
    <w:rsid w:val="004461C4"/>
    <w:rsid w:val="0044721A"/>
    <w:rsid w:val="00447993"/>
    <w:rsid w:val="00447DB0"/>
    <w:rsid w:val="00450E4D"/>
    <w:rsid w:val="00451170"/>
    <w:rsid w:val="004515F7"/>
    <w:rsid w:val="00452055"/>
    <w:rsid w:val="00453143"/>
    <w:rsid w:val="00453673"/>
    <w:rsid w:val="00453BD0"/>
    <w:rsid w:val="00453FED"/>
    <w:rsid w:val="0045466B"/>
    <w:rsid w:val="0045514B"/>
    <w:rsid w:val="00455C12"/>
    <w:rsid w:val="00455F6E"/>
    <w:rsid w:val="004579F1"/>
    <w:rsid w:val="00460B20"/>
    <w:rsid w:val="00460E0F"/>
    <w:rsid w:val="00461E05"/>
    <w:rsid w:val="0046267B"/>
    <w:rsid w:val="00462EC2"/>
    <w:rsid w:val="0046741E"/>
    <w:rsid w:val="0046762F"/>
    <w:rsid w:val="00467C8F"/>
    <w:rsid w:val="004717EE"/>
    <w:rsid w:val="004720A5"/>
    <w:rsid w:val="00474DF4"/>
    <w:rsid w:val="00477610"/>
    <w:rsid w:val="00477727"/>
    <w:rsid w:val="00477D10"/>
    <w:rsid w:val="00480F1D"/>
    <w:rsid w:val="004815C9"/>
    <w:rsid w:val="00482553"/>
    <w:rsid w:val="00483F34"/>
    <w:rsid w:val="00484475"/>
    <w:rsid w:val="004848B1"/>
    <w:rsid w:val="00484B71"/>
    <w:rsid w:val="00486108"/>
    <w:rsid w:val="00486483"/>
    <w:rsid w:val="004867D1"/>
    <w:rsid w:val="0048683C"/>
    <w:rsid w:val="00486DA1"/>
    <w:rsid w:val="00487B0B"/>
    <w:rsid w:val="004902EA"/>
    <w:rsid w:val="004914BB"/>
    <w:rsid w:val="00491982"/>
    <w:rsid w:val="004926AB"/>
    <w:rsid w:val="00492ADE"/>
    <w:rsid w:val="004934C3"/>
    <w:rsid w:val="004944E4"/>
    <w:rsid w:val="00494898"/>
    <w:rsid w:val="00496F71"/>
    <w:rsid w:val="004A01F2"/>
    <w:rsid w:val="004A0DFB"/>
    <w:rsid w:val="004A0FC4"/>
    <w:rsid w:val="004A12F3"/>
    <w:rsid w:val="004A1E2D"/>
    <w:rsid w:val="004A239B"/>
    <w:rsid w:val="004A2DF1"/>
    <w:rsid w:val="004A4FFD"/>
    <w:rsid w:val="004A55CE"/>
    <w:rsid w:val="004A6020"/>
    <w:rsid w:val="004A6FC0"/>
    <w:rsid w:val="004A77FE"/>
    <w:rsid w:val="004B018F"/>
    <w:rsid w:val="004B1DF0"/>
    <w:rsid w:val="004B3479"/>
    <w:rsid w:val="004B3721"/>
    <w:rsid w:val="004B378A"/>
    <w:rsid w:val="004B3AFF"/>
    <w:rsid w:val="004B4C04"/>
    <w:rsid w:val="004B4D54"/>
    <w:rsid w:val="004B59D3"/>
    <w:rsid w:val="004C0F84"/>
    <w:rsid w:val="004C1C95"/>
    <w:rsid w:val="004C2740"/>
    <w:rsid w:val="004C34F8"/>
    <w:rsid w:val="004C3E32"/>
    <w:rsid w:val="004C5E5D"/>
    <w:rsid w:val="004C72F3"/>
    <w:rsid w:val="004C7877"/>
    <w:rsid w:val="004D2571"/>
    <w:rsid w:val="004D2EC6"/>
    <w:rsid w:val="004D437D"/>
    <w:rsid w:val="004D60D8"/>
    <w:rsid w:val="004D6C1B"/>
    <w:rsid w:val="004E3641"/>
    <w:rsid w:val="004E58A3"/>
    <w:rsid w:val="004E6070"/>
    <w:rsid w:val="004E6907"/>
    <w:rsid w:val="004E7181"/>
    <w:rsid w:val="004F08D9"/>
    <w:rsid w:val="004F2F27"/>
    <w:rsid w:val="004F30F4"/>
    <w:rsid w:val="004F3DE1"/>
    <w:rsid w:val="004F4121"/>
    <w:rsid w:val="004F4B41"/>
    <w:rsid w:val="004F5960"/>
    <w:rsid w:val="004F5D4C"/>
    <w:rsid w:val="004F6050"/>
    <w:rsid w:val="004F6491"/>
    <w:rsid w:val="004F649E"/>
    <w:rsid w:val="004F6C5C"/>
    <w:rsid w:val="00500428"/>
    <w:rsid w:val="00500E88"/>
    <w:rsid w:val="00501DDB"/>
    <w:rsid w:val="00503188"/>
    <w:rsid w:val="00504249"/>
    <w:rsid w:val="005050A9"/>
    <w:rsid w:val="005050BB"/>
    <w:rsid w:val="005053BE"/>
    <w:rsid w:val="005068DC"/>
    <w:rsid w:val="00506D6A"/>
    <w:rsid w:val="005109EB"/>
    <w:rsid w:val="00511033"/>
    <w:rsid w:val="00511BFF"/>
    <w:rsid w:val="00512738"/>
    <w:rsid w:val="00512897"/>
    <w:rsid w:val="00513CC3"/>
    <w:rsid w:val="00514909"/>
    <w:rsid w:val="005179BB"/>
    <w:rsid w:val="00517FD1"/>
    <w:rsid w:val="00520E7C"/>
    <w:rsid w:val="00523681"/>
    <w:rsid w:val="00523E32"/>
    <w:rsid w:val="0052443D"/>
    <w:rsid w:val="005248FB"/>
    <w:rsid w:val="005256D3"/>
    <w:rsid w:val="00527454"/>
    <w:rsid w:val="00527BFD"/>
    <w:rsid w:val="00531E51"/>
    <w:rsid w:val="00532585"/>
    <w:rsid w:val="0053291B"/>
    <w:rsid w:val="00533169"/>
    <w:rsid w:val="00533549"/>
    <w:rsid w:val="00533791"/>
    <w:rsid w:val="00533C47"/>
    <w:rsid w:val="00534661"/>
    <w:rsid w:val="00534A67"/>
    <w:rsid w:val="00534D45"/>
    <w:rsid w:val="00536180"/>
    <w:rsid w:val="00536438"/>
    <w:rsid w:val="005368E4"/>
    <w:rsid w:val="005401C8"/>
    <w:rsid w:val="005402B8"/>
    <w:rsid w:val="00540F56"/>
    <w:rsid w:val="005411F2"/>
    <w:rsid w:val="0054184A"/>
    <w:rsid w:val="005446F4"/>
    <w:rsid w:val="00545DC6"/>
    <w:rsid w:val="0054677A"/>
    <w:rsid w:val="00546D19"/>
    <w:rsid w:val="005509D8"/>
    <w:rsid w:val="00551C2A"/>
    <w:rsid w:val="00552BF9"/>
    <w:rsid w:val="00552EBC"/>
    <w:rsid w:val="0055389F"/>
    <w:rsid w:val="00554078"/>
    <w:rsid w:val="00556941"/>
    <w:rsid w:val="00561131"/>
    <w:rsid w:val="00562741"/>
    <w:rsid w:val="005630CB"/>
    <w:rsid w:val="005630F5"/>
    <w:rsid w:val="00563754"/>
    <w:rsid w:val="005646A1"/>
    <w:rsid w:val="00566459"/>
    <w:rsid w:val="00566972"/>
    <w:rsid w:val="00567475"/>
    <w:rsid w:val="00570A66"/>
    <w:rsid w:val="00571058"/>
    <w:rsid w:val="00571232"/>
    <w:rsid w:val="00574CCA"/>
    <w:rsid w:val="00575232"/>
    <w:rsid w:val="005758D8"/>
    <w:rsid w:val="00575CDF"/>
    <w:rsid w:val="00576412"/>
    <w:rsid w:val="00576A37"/>
    <w:rsid w:val="0057704D"/>
    <w:rsid w:val="00577693"/>
    <w:rsid w:val="0058011F"/>
    <w:rsid w:val="005801A5"/>
    <w:rsid w:val="00584450"/>
    <w:rsid w:val="0058461B"/>
    <w:rsid w:val="00584B5E"/>
    <w:rsid w:val="00584E3E"/>
    <w:rsid w:val="00590842"/>
    <w:rsid w:val="00591439"/>
    <w:rsid w:val="00591886"/>
    <w:rsid w:val="005918B8"/>
    <w:rsid w:val="005937F3"/>
    <w:rsid w:val="00594B88"/>
    <w:rsid w:val="00595677"/>
    <w:rsid w:val="00595A88"/>
    <w:rsid w:val="005965F8"/>
    <w:rsid w:val="005972A8"/>
    <w:rsid w:val="005972CF"/>
    <w:rsid w:val="00597873"/>
    <w:rsid w:val="005A06BD"/>
    <w:rsid w:val="005A10B1"/>
    <w:rsid w:val="005A1E57"/>
    <w:rsid w:val="005A1EE2"/>
    <w:rsid w:val="005A2138"/>
    <w:rsid w:val="005A249F"/>
    <w:rsid w:val="005A2972"/>
    <w:rsid w:val="005A29FE"/>
    <w:rsid w:val="005A2E33"/>
    <w:rsid w:val="005A3339"/>
    <w:rsid w:val="005A44DC"/>
    <w:rsid w:val="005A5F1A"/>
    <w:rsid w:val="005A6F9E"/>
    <w:rsid w:val="005B14EC"/>
    <w:rsid w:val="005B29F5"/>
    <w:rsid w:val="005B3667"/>
    <w:rsid w:val="005B38A8"/>
    <w:rsid w:val="005B4B8D"/>
    <w:rsid w:val="005B6DC3"/>
    <w:rsid w:val="005B718E"/>
    <w:rsid w:val="005B7B69"/>
    <w:rsid w:val="005C0FBC"/>
    <w:rsid w:val="005C1EE4"/>
    <w:rsid w:val="005C205A"/>
    <w:rsid w:val="005C3336"/>
    <w:rsid w:val="005C3394"/>
    <w:rsid w:val="005C383D"/>
    <w:rsid w:val="005C3B1D"/>
    <w:rsid w:val="005C47B2"/>
    <w:rsid w:val="005C4D53"/>
    <w:rsid w:val="005C538F"/>
    <w:rsid w:val="005C6A6E"/>
    <w:rsid w:val="005C6AFE"/>
    <w:rsid w:val="005C71CC"/>
    <w:rsid w:val="005C7FF4"/>
    <w:rsid w:val="005D0112"/>
    <w:rsid w:val="005D045C"/>
    <w:rsid w:val="005D191A"/>
    <w:rsid w:val="005D404E"/>
    <w:rsid w:val="005D4235"/>
    <w:rsid w:val="005D4832"/>
    <w:rsid w:val="005D5AC1"/>
    <w:rsid w:val="005D6DED"/>
    <w:rsid w:val="005D7EB1"/>
    <w:rsid w:val="005E379D"/>
    <w:rsid w:val="005E3CA0"/>
    <w:rsid w:val="005E407B"/>
    <w:rsid w:val="005E4BE8"/>
    <w:rsid w:val="005E6C96"/>
    <w:rsid w:val="005E7833"/>
    <w:rsid w:val="005F0283"/>
    <w:rsid w:val="005F36AF"/>
    <w:rsid w:val="005F3992"/>
    <w:rsid w:val="005F5FA3"/>
    <w:rsid w:val="005F679E"/>
    <w:rsid w:val="005F7053"/>
    <w:rsid w:val="00600141"/>
    <w:rsid w:val="00600F98"/>
    <w:rsid w:val="006014BC"/>
    <w:rsid w:val="0060199E"/>
    <w:rsid w:val="00603022"/>
    <w:rsid w:val="0060333B"/>
    <w:rsid w:val="00604C00"/>
    <w:rsid w:val="00605A53"/>
    <w:rsid w:val="00605CF3"/>
    <w:rsid w:val="006076AB"/>
    <w:rsid w:val="00607AE7"/>
    <w:rsid w:val="006104A5"/>
    <w:rsid w:val="006120B8"/>
    <w:rsid w:val="006130AF"/>
    <w:rsid w:val="0061423C"/>
    <w:rsid w:val="00614870"/>
    <w:rsid w:val="00614D00"/>
    <w:rsid w:val="00614DC3"/>
    <w:rsid w:val="00615166"/>
    <w:rsid w:val="006153A5"/>
    <w:rsid w:val="00615F39"/>
    <w:rsid w:val="006175F2"/>
    <w:rsid w:val="006177B3"/>
    <w:rsid w:val="006204C6"/>
    <w:rsid w:val="00620D9D"/>
    <w:rsid w:val="00621494"/>
    <w:rsid w:val="00621BBF"/>
    <w:rsid w:val="00621ECA"/>
    <w:rsid w:val="006229E1"/>
    <w:rsid w:val="00625649"/>
    <w:rsid w:val="006263EA"/>
    <w:rsid w:val="0062750D"/>
    <w:rsid w:val="0063284E"/>
    <w:rsid w:val="00632A4F"/>
    <w:rsid w:val="00632C52"/>
    <w:rsid w:val="00633577"/>
    <w:rsid w:val="00635028"/>
    <w:rsid w:val="00635153"/>
    <w:rsid w:val="00635269"/>
    <w:rsid w:val="006369A4"/>
    <w:rsid w:val="00640034"/>
    <w:rsid w:val="00640A7F"/>
    <w:rsid w:val="00640F27"/>
    <w:rsid w:val="006472BA"/>
    <w:rsid w:val="00647794"/>
    <w:rsid w:val="006478CB"/>
    <w:rsid w:val="00650862"/>
    <w:rsid w:val="00650D2D"/>
    <w:rsid w:val="006525A4"/>
    <w:rsid w:val="00652980"/>
    <w:rsid w:val="00653757"/>
    <w:rsid w:val="00653D6E"/>
    <w:rsid w:val="00653FE4"/>
    <w:rsid w:val="00656449"/>
    <w:rsid w:val="00656B28"/>
    <w:rsid w:val="00656C59"/>
    <w:rsid w:val="00657206"/>
    <w:rsid w:val="00657FE8"/>
    <w:rsid w:val="006611AD"/>
    <w:rsid w:val="00661B84"/>
    <w:rsid w:val="00662174"/>
    <w:rsid w:val="00662A04"/>
    <w:rsid w:val="00662B2E"/>
    <w:rsid w:val="00664768"/>
    <w:rsid w:val="00664ABB"/>
    <w:rsid w:val="00664EB0"/>
    <w:rsid w:val="006654B2"/>
    <w:rsid w:val="006654B6"/>
    <w:rsid w:val="00665B1F"/>
    <w:rsid w:val="006726C6"/>
    <w:rsid w:val="006742A9"/>
    <w:rsid w:val="00674EE0"/>
    <w:rsid w:val="0067508C"/>
    <w:rsid w:val="006757C9"/>
    <w:rsid w:val="006765E6"/>
    <w:rsid w:val="00677107"/>
    <w:rsid w:val="0067782E"/>
    <w:rsid w:val="00681E53"/>
    <w:rsid w:val="00682022"/>
    <w:rsid w:val="00682DE0"/>
    <w:rsid w:val="0068470A"/>
    <w:rsid w:val="00687843"/>
    <w:rsid w:val="00687903"/>
    <w:rsid w:val="00691293"/>
    <w:rsid w:val="00691573"/>
    <w:rsid w:val="006929C7"/>
    <w:rsid w:val="00695581"/>
    <w:rsid w:val="00695ABF"/>
    <w:rsid w:val="006974E8"/>
    <w:rsid w:val="006A17FE"/>
    <w:rsid w:val="006A2BF6"/>
    <w:rsid w:val="006A2E85"/>
    <w:rsid w:val="006A3D85"/>
    <w:rsid w:val="006A4874"/>
    <w:rsid w:val="006A6264"/>
    <w:rsid w:val="006A6608"/>
    <w:rsid w:val="006A6E86"/>
    <w:rsid w:val="006B028B"/>
    <w:rsid w:val="006B1BC4"/>
    <w:rsid w:val="006B1C5A"/>
    <w:rsid w:val="006B1F48"/>
    <w:rsid w:val="006B35EC"/>
    <w:rsid w:val="006B4D78"/>
    <w:rsid w:val="006B5A89"/>
    <w:rsid w:val="006B5DAB"/>
    <w:rsid w:val="006B5E5B"/>
    <w:rsid w:val="006B6CEB"/>
    <w:rsid w:val="006B7656"/>
    <w:rsid w:val="006C1915"/>
    <w:rsid w:val="006C1D16"/>
    <w:rsid w:val="006C219A"/>
    <w:rsid w:val="006C3355"/>
    <w:rsid w:val="006C3592"/>
    <w:rsid w:val="006C3C75"/>
    <w:rsid w:val="006C4661"/>
    <w:rsid w:val="006C5A2F"/>
    <w:rsid w:val="006C5A81"/>
    <w:rsid w:val="006C5AC0"/>
    <w:rsid w:val="006C6B40"/>
    <w:rsid w:val="006C7F87"/>
    <w:rsid w:val="006D162C"/>
    <w:rsid w:val="006D1DB8"/>
    <w:rsid w:val="006D657C"/>
    <w:rsid w:val="006D66A0"/>
    <w:rsid w:val="006E0670"/>
    <w:rsid w:val="006E06B0"/>
    <w:rsid w:val="006E0AA8"/>
    <w:rsid w:val="006E2489"/>
    <w:rsid w:val="006E2A3D"/>
    <w:rsid w:val="006E3AFA"/>
    <w:rsid w:val="006E3F13"/>
    <w:rsid w:val="006E4204"/>
    <w:rsid w:val="006E4888"/>
    <w:rsid w:val="006E6359"/>
    <w:rsid w:val="006E67BB"/>
    <w:rsid w:val="006E7B52"/>
    <w:rsid w:val="006F027E"/>
    <w:rsid w:val="006F152C"/>
    <w:rsid w:val="006F22FD"/>
    <w:rsid w:val="006F3465"/>
    <w:rsid w:val="006F3872"/>
    <w:rsid w:val="006F4223"/>
    <w:rsid w:val="006F42A0"/>
    <w:rsid w:val="006F4AAA"/>
    <w:rsid w:val="006F58E1"/>
    <w:rsid w:val="006F7004"/>
    <w:rsid w:val="006F70FB"/>
    <w:rsid w:val="006F77D2"/>
    <w:rsid w:val="00700A2C"/>
    <w:rsid w:val="0070209F"/>
    <w:rsid w:val="00703644"/>
    <w:rsid w:val="007053AD"/>
    <w:rsid w:val="0070691C"/>
    <w:rsid w:val="00706C16"/>
    <w:rsid w:val="0071015F"/>
    <w:rsid w:val="0071049D"/>
    <w:rsid w:val="007107A0"/>
    <w:rsid w:val="00712442"/>
    <w:rsid w:val="0071331E"/>
    <w:rsid w:val="00713A38"/>
    <w:rsid w:val="00714AE5"/>
    <w:rsid w:val="007151DE"/>
    <w:rsid w:val="00715CE3"/>
    <w:rsid w:val="00716023"/>
    <w:rsid w:val="00720BF4"/>
    <w:rsid w:val="00720E94"/>
    <w:rsid w:val="00721671"/>
    <w:rsid w:val="00721CDC"/>
    <w:rsid w:val="00722069"/>
    <w:rsid w:val="0072609F"/>
    <w:rsid w:val="007266BF"/>
    <w:rsid w:val="00730078"/>
    <w:rsid w:val="007329E7"/>
    <w:rsid w:val="00732A59"/>
    <w:rsid w:val="007339D1"/>
    <w:rsid w:val="00736F6B"/>
    <w:rsid w:val="007376E3"/>
    <w:rsid w:val="00737A30"/>
    <w:rsid w:val="007408EC"/>
    <w:rsid w:val="007409B8"/>
    <w:rsid w:val="007455CA"/>
    <w:rsid w:val="00746BAE"/>
    <w:rsid w:val="007470C9"/>
    <w:rsid w:val="00750533"/>
    <w:rsid w:val="00750DD6"/>
    <w:rsid w:val="00752072"/>
    <w:rsid w:val="0075399C"/>
    <w:rsid w:val="00755BA3"/>
    <w:rsid w:val="007560FD"/>
    <w:rsid w:val="00756EFB"/>
    <w:rsid w:val="00757151"/>
    <w:rsid w:val="007602F1"/>
    <w:rsid w:val="00760D55"/>
    <w:rsid w:val="00761512"/>
    <w:rsid w:val="00761C2D"/>
    <w:rsid w:val="00762052"/>
    <w:rsid w:val="0076579B"/>
    <w:rsid w:val="00766BD2"/>
    <w:rsid w:val="00766D21"/>
    <w:rsid w:val="00770819"/>
    <w:rsid w:val="00770FC6"/>
    <w:rsid w:val="007739F2"/>
    <w:rsid w:val="00773ACE"/>
    <w:rsid w:val="00775D7F"/>
    <w:rsid w:val="00777A4F"/>
    <w:rsid w:val="00780AB7"/>
    <w:rsid w:val="0078223D"/>
    <w:rsid w:val="00783B22"/>
    <w:rsid w:val="00783C43"/>
    <w:rsid w:val="00783DE9"/>
    <w:rsid w:val="00784112"/>
    <w:rsid w:val="0078414E"/>
    <w:rsid w:val="00784DC6"/>
    <w:rsid w:val="00784E54"/>
    <w:rsid w:val="00785DB7"/>
    <w:rsid w:val="00785E76"/>
    <w:rsid w:val="0078654B"/>
    <w:rsid w:val="007865EE"/>
    <w:rsid w:val="00790C85"/>
    <w:rsid w:val="00790ED9"/>
    <w:rsid w:val="00793513"/>
    <w:rsid w:val="00793962"/>
    <w:rsid w:val="00793BC0"/>
    <w:rsid w:val="00794DB3"/>
    <w:rsid w:val="0079613A"/>
    <w:rsid w:val="007970F1"/>
    <w:rsid w:val="007A0749"/>
    <w:rsid w:val="007A2E31"/>
    <w:rsid w:val="007A3698"/>
    <w:rsid w:val="007A3F15"/>
    <w:rsid w:val="007A48F9"/>
    <w:rsid w:val="007A4C40"/>
    <w:rsid w:val="007A5335"/>
    <w:rsid w:val="007A544D"/>
    <w:rsid w:val="007A5CB0"/>
    <w:rsid w:val="007A61D1"/>
    <w:rsid w:val="007A649B"/>
    <w:rsid w:val="007A778A"/>
    <w:rsid w:val="007B25AA"/>
    <w:rsid w:val="007B2680"/>
    <w:rsid w:val="007B3076"/>
    <w:rsid w:val="007B3E92"/>
    <w:rsid w:val="007B51E2"/>
    <w:rsid w:val="007B688E"/>
    <w:rsid w:val="007C04A5"/>
    <w:rsid w:val="007C0E6C"/>
    <w:rsid w:val="007C26AD"/>
    <w:rsid w:val="007C3C46"/>
    <w:rsid w:val="007C405C"/>
    <w:rsid w:val="007C4F66"/>
    <w:rsid w:val="007C54D6"/>
    <w:rsid w:val="007C65DA"/>
    <w:rsid w:val="007C7319"/>
    <w:rsid w:val="007C79C5"/>
    <w:rsid w:val="007D0AB1"/>
    <w:rsid w:val="007D13DC"/>
    <w:rsid w:val="007D2368"/>
    <w:rsid w:val="007D3736"/>
    <w:rsid w:val="007D3AFE"/>
    <w:rsid w:val="007D64B7"/>
    <w:rsid w:val="007D7D50"/>
    <w:rsid w:val="007D7DC5"/>
    <w:rsid w:val="007E0A06"/>
    <w:rsid w:val="007E19DB"/>
    <w:rsid w:val="007E2533"/>
    <w:rsid w:val="007E494A"/>
    <w:rsid w:val="007E51F8"/>
    <w:rsid w:val="007E62DD"/>
    <w:rsid w:val="007E6F2F"/>
    <w:rsid w:val="007E7ADE"/>
    <w:rsid w:val="007F0FB2"/>
    <w:rsid w:val="007F10A1"/>
    <w:rsid w:val="007F318A"/>
    <w:rsid w:val="007F31A8"/>
    <w:rsid w:val="007F3743"/>
    <w:rsid w:val="007F55C1"/>
    <w:rsid w:val="007F5AB9"/>
    <w:rsid w:val="007F5AC0"/>
    <w:rsid w:val="00800BE9"/>
    <w:rsid w:val="00800F11"/>
    <w:rsid w:val="0080179C"/>
    <w:rsid w:val="00801D2A"/>
    <w:rsid w:val="00801DB7"/>
    <w:rsid w:val="00803CAD"/>
    <w:rsid w:val="00804064"/>
    <w:rsid w:val="00805C71"/>
    <w:rsid w:val="00811284"/>
    <w:rsid w:val="00811360"/>
    <w:rsid w:val="008139FA"/>
    <w:rsid w:val="00813ACE"/>
    <w:rsid w:val="00813C6B"/>
    <w:rsid w:val="00813D82"/>
    <w:rsid w:val="00815B94"/>
    <w:rsid w:val="008164EA"/>
    <w:rsid w:val="00816944"/>
    <w:rsid w:val="00817E8A"/>
    <w:rsid w:val="00817FF8"/>
    <w:rsid w:val="0082024B"/>
    <w:rsid w:val="00821790"/>
    <w:rsid w:val="008224D7"/>
    <w:rsid w:val="00822536"/>
    <w:rsid w:val="00822571"/>
    <w:rsid w:val="008229D5"/>
    <w:rsid w:val="00824E9E"/>
    <w:rsid w:val="00826039"/>
    <w:rsid w:val="008276B2"/>
    <w:rsid w:val="008306B1"/>
    <w:rsid w:val="00832722"/>
    <w:rsid w:val="00834148"/>
    <w:rsid w:val="00835C83"/>
    <w:rsid w:val="00836428"/>
    <w:rsid w:val="00840916"/>
    <w:rsid w:val="00841290"/>
    <w:rsid w:val="00841FA4"/>
    <w:rsid w:val="00844724"/>
    <w:rsid w:val="00845E03"/>
    <w:rsid w:val="008460DF"/>
    <w:rsid w:val="00847142"/>
    <w:rsid w:val="00847776"/>
    <w:rsid w:val="00847D8B"/>
    <w:rsid w:val="008509E2"/>
    <w:rsid w:val="00850A8D"/>
    <w:rsid w:val="00850B49"/>
    <w:rsid w:val="008529A0"/>
    <w:rsid w:val="008551B9"/>
    <w:rsid w:val="00856AD5"/>
    <w:rsid w:val="008570C1"/>
    <w:rsid w:val="008617A7"/>
    <w:rsid w:val="008623A6"/>
    <w:rsid w:val="008624F1"/>
    <w:rsid w:val="00862F66"/>
    <w:rsid w:val="00864E0D"/>
    <w:rsid w:val="00864EDF"/>
    <w:rsid w:val="00864FFB"/>
    <w:rsid w:val="00865C3D"/>
    <w:rsid w:val="00866D71"/>
    <w:rsid w:val="00866E5B"/>
    <w:rsid w:val="00866ECD"/>
    <w:rsid w:val="00867183"/>
    <w:rsid w:val="008718A8"/>
    <w:rsid w:val="00871DFC"/>
    <w:rsid w:val="00872265"/>
    <w:rsid w:val="00872F34"/>
    <w:rsid w:val="00873FC4"/>
    <w:rsid w:val="00874D95"/>
    <w:rsid w:val="00875B55"/>
    <w:rsid w:val="008762B9"/>
    <w:rsid w:val="008775CD"/>
    <w:rsid w:val="008804D0"/>
    <w:rsid w:val="00880CB8"/>
    <w:rsid w:val="008815CF"/>
    <w:rsid w:val="0088233D"/>
    <w:rsid w:val="0088321F"/>
    <w:rsid w:val="008835C2"/>
    <w:rsid w:val="00883D5B"/>
    <w:rsid w:val="00884253"/>
    <w:rsid w:val="0088584D"/>
    <w:rsid w:val="0088653D"/>
    <w:rsid w:val="00887416"/>
    <w:rsid w:val="0089252F"/>
    <w:rsid w:val="00893130"/>
    <w:rsid w:val="00893356"/>
    <w:rsid w:val="00893F8A"/>
    <w:rsid w:val="00894D26"/>
    <w:rsid w:val="00894D8B"/>
    <w:rsid w:val="0089717B"/>
    <w:rsid w:val="00897551"/>
    <w:rsid w:val="008A0A57"/>
    <w:rsid w:val="008A13FF"/>
    <w:rsid w:val="008A1501"/>
    <w:rsid w:val="008A3EED"/>
    <w:rsid w:val="008A4C95"/>
    <w:rsid w:val="008A5E77"/>
    <w:rsid w:val="008B0D03"/>
    <w:rsid w:val="008B386C"/>
    <w:rsid w:val="008B6B10"/>
    <w:rsid w:val="008B7883"/>
    <w:rsid w:val="008C0712"/>
    <w:rsid w:val="008C08AA"/>
    <w:rsid w:val="008C08AE"/>
    <w:rsid w:val="008C0B06"/>
    <w:rsid w:val="008C0B5C"/>
    <w:rsid w:val="008C4AE7"/>
    <w:rsid w:val="008C4B15"/>
    <w:rsid w:val="008C567D"/>
    <w:rsid w:val="008D0514"/>
    <w:rsid w:val="008D342B"/>
    <w:rsid w:val="008D3640"/>
    <w:rsid w:val="008D3710"/>
    <w:rsid w:val="008D556F"/>
    <w:rsid w:val="008E0763"/>
    <w:rsid w:val="008E152C"/>
    <w:rsid w:val="008E34F2"/>
    <w:rsid w:val="008E527D"/>
    <w:rsid w:val="008E7E3B"/>
    <w:rsid w:val="008F0DCC"/>
    <w:rsid w:val="008F113F"/>
    <w:rsid w:val="008F18C1"/>
    <w:rsid w:val="008F1EAD"/>
    <w:rsid w:val="008F211E"/>
    <w:rsid w:val="008F2FC6"/>
    <w:rsid w:val="008F30BB"/>
    <w:rsid w:val="008F4156"/>
    <w:rsid w:val="008F5357"/>
    <w:rsid w:val="008F707E"/>
    <w:rsid w:val="009003C3"/>
    <w:rsid w:val="009019BB"/>
    <w:rsid w:val="00903970"/>
    <w:rsid w:val="00903B25"/>
    <w:rsid w:val="00904355"/>
    <w:rsid w:val="00904409"/>
    <w:rsid w:val="00904967"/>
    <w:rsid w:val="00904A28"/>
    <w:rsid w:val="00907F58"/>
    <w:rsid w:val="009110DE"/>
    <w:rsid w:val="0091285E"/>
    <w:rsid w:val="0091304E"/>
    <w:rsid w:val="00914864"/>
    <w:rsid w:val="00914DEB"/>
    <w:rsid w:val="00915859"/>
    <w:rsid w:val="009158ED"/>
    <w:rsid w:val="00916CB7"/>
    <w:rsid w:val="0092271E"/>
    <w:rsid w:val="009235B4"/>
    <w:rsid w:val="0092482A"/>
    <w:rsid w:val="00924A87"/>
    <w:rsid w:val="00926153"/>
    <w:rsid w:val="00927B51"/>
    <w:rsid w:val="009301BE"/>
    <w:rsid w:val="0093064D"/>
    <w:rsid w:val="00930968"/>
    <w:rsid w:val="009311A6"/>
    <w:rsid w:val="0093235E"/>
    <w:rsid w:val="00932B90"/>
    <w:rsid w:val="00934622"/>
    <w:rsid w:val="00937DE9"/>
    <w:rsid w:val="00940A32"/>
    <w:rsid w:val="00945097"/>
    <w:rsid w:val="00945785"/>
    <w:rsid w:val="0094769F"/>
    <w:rsid w:val="00947884"/>
    <w:rsid w:val="00951F96"/>
    <w:rsid w:val="00952F85"/>
    <w:rsid w:val="00953373"/>
    <w:rsid w:val="009544C3"/>
    <w:rsid w:val="00955F53"/>
    <w:rsid w:val="0096261E"/>
    <w:rsid w:val="00963783"/>
    <w:rsid w:val="009646BA"/>
    <w:rsid w:val="009650FE"/>
    <w:rsid w:val="00965456"/>
    <w:rsid w:val="009676EC"/>
    <w:rsid w:val="00967830"/>
    <w:rsid w:val="00972335"/>
    <w:rsid w:val="00972AA4"/>
    <w:rsid w:val="00972AFC"/>
    <w:rsid w:val="009748F7"/>
    <w:rsid w:val="00975841"/>
    <w:rsid w:val="00975C0E"/>
    <w:rsid w:val="00976B46"/>
    <w:rsid w:val="009770FD"/>
    <w:rsid w:val="00977ECF"/>
    <w:rsid w:val="0098000E"/>
    <w:rsid w:val="009805B0"/>
    <w:rsid w:val="00980A7E"/>
    <w:rsid w:val="00980B85"/>
    <w:rsid w:val="00981145"/>
    <w:rsid w:val="009817BF"/>
    <w:rsid w:val="00982E66"/>
    <w:rsid w:val="0098303C"/>
    <w:rsid w:val="00983390"/>
    <w:rsid w:val="00983985"/>
    <w:rsid w:val="00983B59"/>
    <w:rsid w:val="0098543D"/>
    <w:rsid w:val="009854E1"/>
    <w:rsid w:val="00986338"/>
    <w:rsid w:val="009865EC"/>
    <w:rsid w:val="00991497"/>
    <w:rsid w:val="00991BA0"/>
    <w:rsid w:val="00991C30"/>
    <w:rsid w:val="009959B2"/>
    <w:rsid w:val="0099699C"/>
    <w:rsid w:val="00997F46"/>
    <w:rsid w:val="009A1564"/>
    <w:rsid w:val="009A16E1"/>
    <w:rsid w:val="009A33F4"/>
    <w:rsid w:val="009A364B"/>
    <w:rsid w:val="009A373F"/>
    <w:rsid w:val="009A48DC"/>
    <w:rsid w:val="009A571F"/>
    <w:rsid w:val="009A64BE"/>
    <w:rsid w:val="009A735E"/>
    <w:rsid w:val="009A7C65"/>
    <w:rsid w:val="009A7F8A"/>
    <w:rsid w:val="009B0497"/>
    <w:rsid w:val="009B0F14"/>
    <w:rsid w:val="009B143C"/>
    <w:rsid w:val="009B16ED"/>
    <w:rsid w:val="009B1C6B"/>
    <w:rsid w:val="009B32CF"/>
    <w:rsid w:val="009B3CD5"/>
    <w:rsid w:val="009B4CE0"/>
    <w:rsid w:val="009B55DE"/>
    <w:rsid w:val="009B56C2"/>
    <w:rsid w:val="009B58DB"/>
    <w:rsid w:val="009B717D"/>
    <w:rsid w:val="009B796A"/>
    <w:rsid w:val="009B7B30"/>
    <w:rsid w:val="009C0F31"/>
    <w:rsid w:val="009C1CED"/>
    <w:rsid w:val="009C1D80"/>
    <w:rsid w:val="009C24BB"/>
    <w:rsid w:val="009C26E7"/>
    <w:rsid w:val="009C4375"/>
    <w:rsid w:val="009C6E2F"/>
    <w:rsid w:val="009C75DB"/>
    <w:rsid w:val="009C7F9F"/>
    <w:rsid w:val="009D0EDF"/>
    <w:rsid w:val="009D16C0"/>
    <w:rsid w:val="009D3219"/>
    <w:rsid w:val="009D3266"/>
    <w:rsid w:val="009D345D"/>
    <w:rsid w:val="009D4A5E"/>
    <w:rsid w:val="009D5D86"/>
    <w:rsid w:val="009D62DB"/>
    <w:rsid w:val="009D7193"/>
    <w:rsid w:val="009D7614"/>
    <w:rsid w:val="009E1827"/>
    <w:rsid w:val="009E1ABE"/>
    <w:rsid w:val="009E2482"/>
    <w:rsid w:val="009E360C"/>
    <w:rsid w:val="009E3AFF"/>
    <w:rsid w:val="009E520E"/>
    <w:rsid w:val="009E62B2"/>
    <w:rsid w:val="009E6A20"/>
    <w:rsid w:val="009F1D1B"/>
    <w:rsid w:val="009F23AD"/>
    <w:rsid w:val="009F5BD0"/>
    <w:rsid w:val="009F6671"/>
    <w:rsid w:val="009F74ED"/>
    <w:rsid w:val="009F7E67"/>
    <w:rsid w:val="009F7F7B"/>
    <w:rsid w:val="00A00298"/>
    <w:rsid w:val="00A00354"/>
    <w:rsid w:val="00A02BA1"/>
    <w:rsid w:val="00A034E4"/>
    <w:rsid w:val="00A036C0"/>
    <w:rsid w:val="00A0408C"/>
    <w:rsid w:val="00A0512A"/>
    <w:rsid w:val="00A062A7"/>
    <w:rsid w:val="00A07687"/>
    <w:rsid w:val="00A13161"/>
    <w:rsid w:val="00A132DB"/>
    <w:rsid w:val="00A161E9"/>
    <w:rsid w:val="00A16A0A"/>
    <w:rsid w:val="00A16FC6"/>
    <w:rsid w:val="00A23571"/>
    <w:rsid w:val="00A238C6"/>
    <w:rsid w:val="00A23C0F"/>
    <w:rsid w:val="00A2513C"/>
    <w:rsid w:val="00A26691"/>
    <w:rsid w:val="00A30ADA"/>
    <w:rsid w:val="00A30D6A"/>
    <w:rsid w:val="00A313E6"/>
    <w:rsid w:val="00A31CB8"/>
    <w:rsid w:val="00A32297"/>
    <w:rsid w:val="00A322F5"/>
    <w:rsid w:val="00A33432"/>
    <w:rsid w:val="00A33C7C"/>
    <w:rsid w:val="00A34214"/>
    <w:rsid w:val="00A34655"/>
    <w:rsid w:val="00A3521D"/>
    <w:rsid w:val="00A35CC0"/>
    <w:rsid w:val="00A37D0A"/>
    <w:rsid w:val="00A40D4E"/>
    <w:rsid w:val="00A4126A"/>
    <w:rsid w:val="00A415F2"/>
    <w:rsid w:val="00A41A5C"/>
    <w:rsid w:val="00A42F93"/>
    <w:rsid w:val="00A4330B"/>
    <w:rsid w:val="00A446D1"/>
    <w:rsid w:val="00A44842"/>
    <w:rsid w:val="00A4498E"/>
    <w:rsid w:val="00A4523C"/>
    <w:rsid w:val="00A46669"/>
    <w:rsid w:val="00A47EFD"/>
    <w:rsid w:val="00A5252A"/>
    <w:rsid w:val="00A527B5"/>
    <w:rsid w:val="00A540BF"/>
    <w:rsid w:val="00A54B9A"/>
    <w:rsid w:val="00A54C34"/>
    <w:rsid w:val="00A56A8C"/>
    <w:rsid w:val="00A57ADE"/>
    <w:rsid w:val="00A60D6A"/>
    <w:rsid w:val="00A6119B"/>
    <w:rsid w:val="00A61894"/>
    <w:rsid w:val="00A6460E"/>
    <w:rsid w:val="00A65294"/>
    <w:rsid w:val="00A663E0"/>
    <w:rsid w:val="00A66975"/>
    <w:rsid w:val="00A674BE"/>
    <w:rsid w:val="00A67BB6"/>
    <w:rsid w:val="00A704EF"/>
    <w:rsid w:val="00A70C04"/>
    <w:rsid w:val="00A7178D"/>
    <w:rsid w:val="00A72AB4"/>
    <w:rsid w:val="00A73EF5"/>
    <w:rsid w:val="00A74FC1"/>
    <w:rsid w:val="00A7544B"/>
    <w:rsid w:val="00A830B7"/>
    <w:rsid w:val="00A86665"/>
    <w:rsid w:val="00A86C7B"/>
    <w:rsid w:val="00A86CE0"/>
    <w:rsid w:val="00A9008C"/>
    <w:rsid w:val="00A91193"/>
    <w:rsid w:val="00A941A8"/>
    <w:rsid w:val="00A94836"/>
    <w:rsid w:val="00A95D61"/>
    <w:rsid w:val="00A97F8B"/>
    <w:rsid w:val="00AA1200"/>
    <w:rsid w:val="00AA3385"/>
    <w:rsid w:val="00AA35FA"/>
    <w:rsid w:val="00AA4228"/>
    <w:rsid w:val="00AA50AB"/>
    <w:rsid w:val="00AA521F"/>
    <w:rsid w:val="00AA5ABB"/>
    <w:rsid w:val="00AA6EA4"/>
    <w:rsid w:val="00AA7552"/>
    <w:rsid w:val="00AB0F37"/>
    <w:rsid w:val="00AB2822"/>
    <w:rsid w:val="00AB2CCA"/>
    <w:rsid w:val="00AB3D70"/>
    <w:rsid w:val="00AB5A9D"/>
    <w:rsid w:val="00AB69C4"/>
    <w:rsid w:val="00AC07BE"/>
    <w:rsid w:val="00AC180E"/>
    <w:rsid w:val="00AC41CB"/>
    <w:rsid w:val="00AC42AA"/>
    <w:rsid w:val="00AC5B08"/>
    <w:rsid w:val="00AC5FC7"/>
    <w:rsid w:val="00AC619F"/>
    <w:rsid w:val="00AC6313"/>
    <w:rsid w:val="00AC66CC"/>
    <w:rsid w:val="00AC67DA"/>
    <w:rsid w:val="00AC696C"/>
    <w:rsid w:val="00AD0FAC"/>
    <w:rsid w:val="00AD1057"/>
    <w:rsid w:val="00AD2F79"/>
    <w:rsid w:val="00AD2FF1"/>
    <w:rsid w:val="00AD3040"/>
    <w:rsid w:val="00AD3D21"/>
    <w:rsid w:val="00AD421D"/>
    <w:rsid w:val="00AD5843"/>
    <w:rsid w:val="00AD5C8F"/>
    <w:rsid w:val="00AD5E0D"/>
    <w:rsid w:val="00AE1AFA"/>
    <w:rsid w:val="00AE34AE"/>
    <w:rsid w:val="00AE3622"/>
    <w:rsid w:val="00AE3FD2"/>
    <w:rsid w:val="00AE4EBC"/>
    <w:rsid w:val="00AE4FC6"/>
    <w:rsid w:val="00AE6AFB"/>
    <w:rsid w:val="00AE6AFD"/>
    <w:rsid w:val="00AF0A16"/>
    <w:rsid w:val="00AF1B1B"/>
    <w:rsid w:val="00AF2029"/>
    <w:rsid w:val="00AF3864"/>
    <w:rsid w:val="00AF47A3"/>
    <w:rsid w:val="00AF692C"/>
    <w:rsid w:val="00AF7F4B"/>
    <w:rsid w:val="00B003F5"/>
    <w:rsid w:val="00B007E2"/>
    <w:rsid w:val="00B00949"/>
    <w:rsid w:val="00B01B09"/>
    <w:rsid w:val="00B0251A"/>
    <w:rsid w:val="00B04E1A"/>
    <w:rsid w:val="00B06659"/>
    <w:rsid w:val="00B06757"/>
    <w:rsid w:val="00B06874"/>
    <w:rsid w:val="00B069EF"/>
    <w:rsid w:val="00B1180D"/>
    <w:rsid w:val="00B11D4A"/>
    <w:rsid w:val="00B12C8A"/>
    <w:rsid w:val="00B12EB2"/>
    <w:rsid w:val="00B134E8"/>
    <w:rsid w:val="00B138EA"/>
    <w:rsid w:val="00B1478C"/>
    <w:rsid w:val="00B16582"/>
    <w:rsid w:val="00B1797A"/>
    <w:rsid w:val="00B17B48"/>
    <w:rsid w:val="00B17BF9"/>
    <w:rsid w:val="00B20981"/>
    <w:rsid w:val="00B21FD3"/>
    <w:rsid w:val="00B23970"/>
    <w:rsid w:val="00B244D2"/>
    <w:rsid w:val="00B247A3"/>
    <w:rsid w:val="00B2727D"/>
    <w:rsid w:val="00B30136"/>
    <w:rsid w:val="00B31A36"/>
    <w:rsid w:val="00B324D7"/>
    <w:rsid w:val="00B3324C"/>
    <w:rsid w:val="00B34098"/>
    <w:rsid w:val="00B34660"/>
    <w:rsid w:val="00B347CC"/>
    <w:rsid w:val="00B35C4F"/>
    <w:rsid w:val="00B35CDE"/>
    <w:rsid w:val="00B37FB8"/>
    <w:rsid w:val="00B42501"/>
    <w:rsid w:val="00B42A97"/>
    <w:rsid w:val="00B458BD"/>
    <w:rsid w:val="00B46A51"/>
    <w:rsid w:val="00B51BD2"/>
    <w:rsid w:val="00B52CEB"/>
    <w:rsid w:val="00B53A93"/>
    <w:rsid w:val="00B55484"/>
    <w:rsid w:val="00B56013"/>
    <w:rsid w:val="00B60496"/>
    <w:rsid w:val="00B60A64"/>
    <w:rsid w:val="00B61272"/>
    <w:rsid w:val="00B61531"/>
    <w:rsid w:val="00B61EE3"/>
    <w:rsid w:val="00B62481"/>
    <w:rsid w:val="00B627A4"/>
    <w:rsid w:val="00B6326F"/>
    <w:rsid w:val="00B63711"/>
    <w:rsid w:val="00B64F87"/>
    <w:rsid w:val="00B656F9"/>
    <w:rsid w:val="00B705CA"/>
    <w:rsid w:val="00B7148C"/>
    <w:rsid w:val="00B717E3"/>
    <w:rsid w:val="00B725BA"/>
    <w:rsid w:val="00B74C63"/>
    <w:rsid w:val="00B74D65"/>
    <w:rsid w:val="00B7549E"/>
    <w:rsid w:val="00B7554F"/>
    <w:rsid w:val="00B75A4F"/>
    <w:rsid w:val="00B77C2E"/>
    <w:rsid w:val="00B8122D"/>
    <w:rsid w:val="00B8170D"/>
    <w:rsid w:val="00B81ECE"/>
    <w:rsid w:val="00B81F55"/>
    <w:rsid w:val="00B846EF"/>
    <w:rsid w:val="00B86177"/>
    <w:rsid w:val="00B86A61"/>
    <w:rsid w:val="00B90915"/>
    <w:rsid w:val="00B90ACB"/>
    <w:rsid w:val="00B90BDC"/>
    <w:rsid w:val="00B917A7"/>
    <w:rsid w:val="00B93BCF"/>
    <w:rsid w:val="00B96117"/>
    <w:rsid w:val="00B963FA"/>
    <w:rsid w:val="00BA013F"/>
    <w:rsid w:val="00BA0295"/>
    <w:rsid w:val="00BA0B58"/>
    <w:rsid w:val="00BA117D"/>
    <w:rsid w:val="00BA1719"/>
    <w:rsid w:val="00BA212A"/>
    <w:rsid w:val="00BA2DA4"/>
    <w:rsid w:val="00BA3348"/>
    <w:rsid w:val="00BA3AA2"/>
    <w:rsid w:val="00BA5712"/>
    <w:rsid w:val="00BA6F42"/>
    <w:rsid w:val="00BB216D"/>
    <w:rsid w:val="00BB25E0"/>
    <w:rsid w:val="00BB4016"/>
    <w:rsid w:val="00BB4350"/>
    <w:rsid w:val="00BB48D2"/>
    <w:rsid w:val="00BB5250"/>
    <w:rsid w:val="00BB57D6"/>
    <w:rsid w:val="00BB5FAE"/>
    <w:rsid w:val="00BB6B72"/>
    <w:rsid w:val="00BB71B4"/>
    <w:rsid w:val="00BC0D21"/>
    <w:rsid w:val="00BC2675"/>
    <w:rsid w:val="00BC41B2"/>
    <w:rsid w:val="00BC4580"/>
    <w:rsid w:val="00BC49FE"/>
    <w:rsid w:val="00BC5794"/>
    <w:rsid w:val="00BC57D5"/>
    <w:rsid w:val="00BC633E"/>
    <w:rsid w:val="00BC6608"/>
    <w:rsid w:val="00BD142C"/>
    <w:rsid w:val="00BD2744"/>
    <w:rsid w:val="00BD27DD"/>
    <w:rsid w:val="00BD351F"/>
    <w:rsid w:val="00BD48B8"/>
    <w:rsid w:val="00BD4E7C"/>
    <w:rsid w:val="00BD52AB"/>
    <w:rsid w:val="00BD5494"/>
    <w:rsid w:val="00BD5511"/>
    <w:rsid w:val="00BD5A76"/>
    <w:rsid w:val="00BD5EB9"/>
    <w:rsid w:val="00BD670A"/>
    <w:rsid w:val="00BD6B0C"/>
    <w:rsid w:val="00BD6CD4"/>
    <w:rsid w:val="00BD7FAC"/>
    <w:rsid w:val="00BE0383"/>
    <w:rsid w:val="00BE209C"/>
    <w:rsid w:val="00BE2F4F"/>
    <w:rsid w:val="00BE34B3"/>
    <w:rsid w:val="00BE372C"/>
    <w:rsid w:val="00BE4F86"/>
    <w:rsid w:val="00BE5909"/>
    <w:rsid w:val="00BE6D07"/>
    <w:rsid w:val="00BE70CB"/>
    <w:rsid w:val="00BF0847"/>
    <w:rsid w:val="00BF0AA4"/>
    <w:rsid w:val="00BF234B"/>
    <w:rsid w:val="00BF3404"/>
    <w:rsid w:val="00BF51FA"/>
    <w:rsid w:val="00BF6F8A"/>
    <w:rsid w:val="00C02E4E"/>
    <w:rsid w:val="00C0514A"/>
    <w:rsid w:val="00C05A25"/>
    <w:rsid w:val="00C078A0"/>
    <w:rsid w:val="00C106E9"/>
    <w:rsid w:val="00C1101F"/>
    <w:rsid w:val="00C11226"/>
    <w:rsid w:val="00C11377"/>
    <w:rsid w:val="00C11AE0"/>
    <w:rsid w:val="00C11D4D"/>
    <w:rsid w:val="00C11E48"/>
    <w:rsid w:val="00C12707"/>
    <w:rsid w:val="00C1411B"/>
    <w:rsid w:val="00C15810"/>
    <w:rsid w:val="00C16C3D"/>
    <w:rsid w:val="00C16DCC"/>
    <w:rsid w:val="00C170E1"/>
    <w:rsid w:val="00C175CD"/>
    <w:rsid w:val="00C1766E"/>
    <w:rsid w:val="00C17686"/>
    <w:rsid w:val="00C17EFD"/>
    <w:rsid w:val="00C210B1"/>
    <w:rsid w:val="00C22FCB"/>
    <w:rsid w:val="00C2347C"/>
    <w:rsid w:val="00C245BA"/>
    <w:rsid w:val="00C245EE"/>
    <w:rsid w:val="00C25548"/>
    <w:rsid w:val="00C2589A"/>
    <w:rsid w:val="00C25ABC"/>
    <w:rsid w:val="00C262C1"/>
    <w:rsid w:val="00C26868"/>
    <w:rsid w:val="00C26B90"/>
    <w:rsid w:val="00C26F7D"/>
    <w:rsid w:val="00C27212"/>
    <w:rsid w:val="00C30A14"/>
    <w:rsid w:val="00C3241D"/>
    <w:rsid w:val="00C33868"/>
    <w:rsid w:val="00C339E4"/>
    <w:rsid w:val="00C33E54"/>
    <w:rsid w:val="00C34086"/>
    <w:rsid w:val="00C34AE1"/>
    <w:rsid w:val="00C376DC"/>
    <w:rsid w:val="00C37C66"/>
    <w:rsid w:val="00C41AFB"/>
    <w:rsid w:val="00C44909"/>
    <w:rsid w:val="00C4505D"/>
    <w:rsid w:val="00C4711C"/>
    <w:rsid w:val="00C47179"/>
    <w:rsid w:val="00C50DB7"/>
    <w:rsid w:val="00C52626"/>
    <w:rsid w:val="00C53113"/>
    <w:rsid w:val="00C5340F"/>
    <w:rsid w:val="00C535C1"/>
    <w:rsid w:val="00C55AD4"/>
    <w:rsid w:val="00C55B5B"/>
    <w:rsid w:val="00C56F6C"/>
    <w:rsid w:val="00C57248"/>
    <w:rsid w:val="00C57267"/>
    <w:rsid w:val="00C5745B"/>
    <w:rsid w:val="00C57823"/>
    <w:rsid w:val="00C60974"/>
    <w:rsid w:val="00C60F11"/>
    <w:rsid w:val="00C61F43"/>
    <w:rsid w:val="00C62449"/>
    <w:rsid w:val="00C6320E"/>
    <w:rsid w:val="00C64968"/>
    <w:rsid w:val="00C64EA9"/>
    <w:rsid w:val="00C65230"/>
    <w:rsid w:val="00C657AE"/>
    <w:rsid w:val="00C65870"/>
    <w:rsid w:val="00C66A7F"/>
    <w:rsid w:val="00C67B70"/>
    <w:rsid w:val="00C70D12"/>
    <w:rsid w:val="00C70F66"/>
    <w:rsid w:val="00C735FE"/>
    <w:rsid w:val="00C74240"/>
    <w:rsid w:val="00C74BF6"/>
    <w:rsid w:val="00C75139"/>
    <w:rsid w:val="00C75695"/>
    <w:rsid w:val="00C75A59"/>
    <w:rsid w:val="00C779A6"/>
    <w:rsid w:val="00C8001D"/>
    <w:rsid w:val="00C80C42"/>
    <w:rsid w:val="00C81166"/>
    <w:rsid w:val="00C828CF"/>
    <w:rsid w:val="00C838F6"/>
    <w:rsid w:val="00C843C0"/>
    <w:rsid w:val="00C84784"/>
    <w:rsid w:val="00C84C50"/>
    <w:rsid w:val="00C84D85"/>
    <w:rsid w:val="00C9144C"/>
    <w:rsid w:val="00C916BB"/>
    <w:rsid w:val="00C91C92"/>
    <w:rsid w:val="00C9253F"/>
    <w:rsid w:val="00C959FF"/>
    <w:rsid w:val="00C96331"/>
    <w:rsid w:val="00C96BAA"/>
    <w:rsid w:val="00C96F60"/>
    <w:rsid w:val="00C96F68"/>
    <w:rsid w:val="00CA0182"/>
    <w:rsid w:val="00CA04EC"/>
    <w:rsid w:val="00CA1494"/>
    <w:rsid w:val="00CA1508"/>
    <w:rsid w:val="00CA3953"/>
    <w:rsid w:val="00CA4DC8"/>
    <w:rsid w:val="00CA5E72"/>
    <w:rsid w:val="00CA5FC2"/>
    <w:rsid w:val="00CA662B"/>
    <w:rsid w:val="00CA6ABE"/>
    <w:rsid w:val="00CA6B4F"/>
    <w:rsid w:val="00CA6D7E"/>
    <w:rsid w:val="00CA6E29"/>
    <w:rsid w:val="00CA745D"/>
    <w:rsid w:val="00CA7812"/>
    <w:rsid w:val="00CB05E7"/>
    <w:rsid w:val="00CB0A87"/>
    <w:rsid w:val="00CB22F7"/>
    <w:rsid w:val="00CB3106"/>
    <w:rsid w:val="00CB31C4"/>
    <w:rsid w:val="00CB327D"/>
    <w:rsid w:val="00CB3CEF"/>
    <w:rsid w:val="00CB4204"/>
    <w:rsid w:val="00CB5C42"/>
    <w:rsid w:val="00CB6EE3"/>
    <w:rsid w:val="00CB75FD"/>
    <w:rsid w:val="00CC2A78"/>
    <w:rsid w:val="00CC35C2"/>
    <w:rsid w:val="00CC4936"/>
    <w:rsid w:val="00CC7974"/>
    <w:rsid w:val="00CC79BF"/>
    <w:rsid w:val="00CD02F0"/>
    <w:rsid w:val="00CD0B50"/>
    <w:rsid w:val="00CD1B7D"/>
    <w:rsid w:val="00CD1D5D"/>
    <w:rsid w:val="00CD1F97"/>
    <w:rsid w:val="00CD21E0"/>
    <w:rsid w:val="00CD2FA6"/>
    <w:rsid w:val="00CD414A"/>
    <w:rsid w:val="00CD475C"/>
    <w:rsid w:val="00CD492E"/>
    <w:rsid w:val="00CD4D97"/>
    <w:rsid w:val="00CD69DF"/>
    <w:rsid w:val="00CD7E8B"/>
    <w:rsid w:val="00CE0645"/>
    <w:rsid w:val="00CE23FC"/>
    <w:rsid w:val="00CE3E22"/>
    <w:rsid w:val="00CE6477"/>
    <w:rsid w:val="00CE672C"/>
    <w:rsid w:val="00CE720B"/>
    <w:rsid w:val="00CE766A"/>
    <w:rsid w:val="00CE77CE"/>
    <w:rsid w:val="00CE7A14"/>
    <w:rsid w:val="00CF04AD"/>
    <w:rsid w:val="00CF1B7B"/>
    <w:rsid w:val="00CF217A"/>
    <w:rsid w:val="00CF33F5"/>
    <w:rsid w:val="00CF37EF"/>
    <w:rsid w:val="00CF395C"/>
    <w:rsid w:val="00CF4374"/>
    <w:rsid w:val="00CF4971"/>
    <w:rsid w:val="00CF4AA5"/>
    <w:rsid w:val="00CF55C0"/>
    <w:rsid w:val="00CF5B1A"/>
    <w:rsid w:val="00CF5B91"/>
    <w:rsid w:val="00CF643D"/>
    <w:rsid w:val="00CF77A1"/>
    <w:rsid w:val="00D00B28"/>
    <w:rsid w:val="00D01CDA"/>
    <w:rsid w:val="00D02957"/>
    <w:rsid w:val="00D02D6B"/>
    <w:rsid w:val="00D0469F"/>
    <w:rsid w:val="00D05077"/>
    <w:rsid w:val="00D058C2"/>
    <w:rsid w:val="00D05997"/>
    <w:rsid w:val="00D05ABB"/>
    <w:rsid w:val="00D05CE5"/>
    <w:rsid w:val="00D05D12"/>
    <w:rsid w:val="00D061A9"/>
    <w:rsid w:val="00D062F1"/>
    <w:rsid w:val="00D06321"/>
    <w:rsid w:val="00D074B9"/>
    <w:rsid w:val="00D079C9"/>
    <w:rsid w:val="00D07E84"/>
    <w:rsid w:val="00D1204D"/>
    <w:rsid w:val="00D134E0"/>
    <w:rsid w:val="00D139A8"/>
    <w:rsid w:val="00D16F40"/>
    <w:rsid w:val="00D171F8"/>
    <w:rsid w:val="00D215EB"/>
    <w:rsid w:val="00D21732"/>
    <w:rsid w:val="00D21B28"/>
    <w:rsid w:val="00D22CE2"/>
    <w:rsid w:val="00D2363D"/>
    <w:rsid w:val="00D2554E"/>
    <w:rsid w:val="00D25965"/>
    <w:rsid w:val="00D26264"/>
    <w:rsid w:val="00D26335"/>
    <w:rsid w:val="00D274A8"/>
    <w:rsid w:val="00D318A6"/>
    <w:rsid w:val="00D327F0"/>
    <w:rsid w:val="00D33A23"/>
    <w:rsid w:val="00D345CC"/>
    <w:rsid w:val="00D34B9E"/>
    <w:rsid w:val="00D355D8"/>
    <w:rsid w:val="00D35886"/>
    <w:rsid w:val="00D35CFC"/>
    <w:rsid w:val="00D35EA8"/>
    <w:rsid w:val="00D35FDB"/>
    <w:rsid w:val="00D362DC"/>
    <w:rsid w:val="00D40795"/>
    <w:rsid w:val="00D409F4"/>
    <w:rsid w:val="00D45854"/>
    <w:rsid w:val="00D46B0D"/>
    <w:rsid w:val="00D4713E"/>
    <w:rsid w:val="00D47272"/>
    <w:rsid w:val="00D473ED"/>
    <w:rsid w:val="00D474F5"/>
    <w:rsid w:val="00D51735"/>
    <w:rsid w:val="00D51B2A"/>
    <w:rsid w:val="00D5219E"/>
    <w:rsid w:val="00D5254C"/>
    <w:rsid w:val="00D53769"/>
    <w:rsid w:val="00D53ACC"/>
    <w:rsid w:val="00D5405B"/>
    <w:rsid w:val="00D569B3"/>
    <w:rsid w:val="00D571B9"/>
    <w:rsid w:val="00D579BA"/>
    <w:rsid w:val="00D6103E"/>
    <w:rsid w:val="00D62D66"/>
    <w:rsid w:val="00D63114"/>
    <w:rsid w:val="00D63F64"/>
    <w:rsid w:val="00D640A0"/>
    <w:rsid w:val="00D650A0"/>
    <w:rsid w:val="00D661CE"/>
    <w:rsid w:val="00D66598"/>
    <w:rsid w:val="00D67BFC"/>
    <w:rsid w:val="00D719EE"/>
    <w:rsid w:val="00D72078"/>
    <w:rsid w:val="00D73651"/>
    <w:rsid w:val="00D73ACD"/>
    <w:rsid w:val="00D77130"/>
    <w:rsid w:val="00D8038D"/>
    <w:rsid w:val="00D8181C"/>
    <w:rsid w:val="00D81E85"/>
    <w:rsid w:val="00D846C0"/>
    <w:rsid w:val="00D84ACF"/>
    <w:rsid w:val="00D84F11"/>
    <w:rsid w:val="00D85CA5"/>
    <w:rsid w:val="00D86914"/>
    <w:rsid w:val="00D8735A"/>
    <w:rsid w:val="00D916EC"/>
    <w:rsid w:val="00D923CD"/>
    <w:rsid w:val="00D92C2E"/>
    <w:rsid w:val="00D931BB"/>
    <w:rsid w:val="00D93CAD"/>
    <w:rsid w:val="00D94711"/>
    <w:rsid w:val="00D94AC0"/>
    <w:rsid w:val="00D950C6"/>
    <w:rsid w:val="00D9552C"/>
    <w:rsid w:val="00D9674A"/>
    <w:rsid w:val="00DA223B"/>
    <w:rsid w:val="00DA270C"/>
    <w:rsid w:val="00DA5773"/>
    <w:rsid w:val="00DA5D10"/>
    <w:rsid w:val="00DB40BA"/>
    <w:rsid w:val="00DB52D5"/>
    <w:rsid w:val="00DB5C1E"/>
    <w:rsid w:val="00DB664F"/>
    <w:rsid w:val="00DB6C06"/>
    <w:rsid w:val="00DB6F78"/>
    <w:rsid w:val="00DC01FA"/>
    <w:rsid w:val="00DC214C"/>
    <w:rsid w:val="00DC2EC2"/>
    <w:rsid w:val="00DC334B"/>
    <w:rsid w:val="00DC3944"/>
    <w:rsid w:val="00DC396C"/>
    <w:rsid w:val="00DC6B1F"/>
    <w:rsid w:val="00DC78C0"/>
    <w:rsid w:val="00DD002A"/>
    <w:rsid w:val="00DD0A0F"/>
    <w:rsid w:val="00DD0FF0"/>
    <w:rsid w:val="00DD16D8"/>
    <w:rsid w:val="00DD1B61"/>
    <w:rsid w:val="00DD252D"/>
    <w:rsid w:val="00DD254C"/>
    <w:rsid w:val="00DD2ED8"/>
    <w:rsid w:val="00DD36AF"/>
    <w:rsid w:val="00DD43C1"/>
    <w:rsid w:val="00DD4D0C"/>
    <w:rsid w:val="00DD4FCA"/>
    <w:rsid w:val="00DD538D"/>
    <w:rsid w:val="00DD54DA"/>
    <w:rsid w:val="00DD557F"/>
    <w:rsid w:val="00DD57C8"/>
    <w:rsid w:val="00DE102F"/>
    <w:rsid w:val="00DE1C8B"/>
    <w:rsid w:val="00DE2E8A"/>
    <w:rsid w:val="00DE369F"/>
    <w:rsid w:val="00DE413F"/>
    <w:rsid w:val="00DE5CD3"/>
    <w:rsid w:val="00DE608E"/>
    <w:rsid w:val="00DE6C98"/>
    <w:rsid w:val="00DE6E3C"/>
    <w:rsid w:val="00DE7242"/>
    <w:rsid w:val="00DF0C4F"/>
    <w:rsid w:val="00DF5665"/>
    <w:rsid w:val="00DF5D87"/>
    <w:rsid w:val="00DF67A1"/>
    <w:rsid w:val="00DF6852"/>
    <w:rsid w:val="00E0084E"/>
    <w:rsid w:val="00E0086F"/>
    <w:rsid w:val="00E00FFB"/>
    <w:rsid w:val="00E01051"/>
    <w:rsid w:val="00E03126"/>
    <w:rsid w:val="00E0347B"/>
    <w:rsid w:val="00E03C2D"/>
    <w:rsid w:val="00E07A31"/>
    <w:rsid w:val="00E07B4C"/>
    <w:rsid w:val="00E1069D"/>
    <w:rsid w:val="00E12F81"/>
    <w:rsid w:val="00E14207"/>
    <w:rsid w:val="00E1523D"/>
    <w:rsid w:val="00E15B44"/>
    <w:rsid w:val="00E20D28"/>
    <w:rsid w:val="00E21D83"/>
    <w:rsid w:val="00E2276B"/>
    <w:rsid w:val="00E231F3"/>
    <w:rsid w:val="00E23C2B"/>
    <w:rsid w:val="00E26711"/>
    <w:rsid w:val="00E301A3"/>
    <w:rsid w:val="00E31395"/>
    <w:rsid w:val="00E31B2B"/>
    <w:rsid w:val="00E3232B"/>
    <w:rsid w:val="00E33407"/>
    <w:rsid w:val="00E3394A"/>
    <w:rsid w:val="00E34855"/>
    <w:rsid w:val="00E361FE"/>
    <w:rsid w:val="00E40475"/>
    <w:rsid w:val="00E40778"/>
    <w:rsid w:val="00E41078"/>
    <w:rsid w:val="00E420B0"/>
    <w:rsid w:val="00E421F0"/>
    <w:rsid w:val="00E425C7"/>
    <w:rsid w:val="00E42D26"/>
    <w:rsid w:val="00E43AA3"/>
    <w:rsid w:val="00E441E4"/>
    <w:rsid w:val="00E447AD"/>
    <w:rsid w:val="00E46B82"/>
    <w:rsid w:val="00E474D7"/>
    <w:rsid w:val="00E47736"/>
    <w:rsid w:val="00E5184B"/>
    <w:rsid w:val="00E51F98"/>
    <w:rsid w:val="00E522C1"/>
    <w:rsid w:val="00E52368"/>
    <w:rsid w:val="00E527BC"/>
    <w:rsid w:val="00E53523"/>
    <w:rsid w:val="00E535CE"/>
    <w:rsid w:val="00E536A8"/>
    <w:rsid w:val="00E53767"/>
    <w:rsid w:val="00E54321"/>
    <w:rsid w:val="00E54668"/>
    <w:rsid w:val="00E55631"/>
    <w:rsid w:val="00E56B23"/>
    <w:rsid w:val="00E57A41"/>
    <w:rsid w:val="00E57DE0"/>
    <w:rsid w:val="00E6166A"/>
    <w:rsid w:val="00E62999"/>
    <w:rsid w:val="00E63998"/>
    <w:rsid w:val="00E653A6"/>
    <w:rsid w:val="00E65BAD"/>
    <w:rsid w:val="00E6687D"/>
    <w:rsid w:val="00E668D9"/>
    <w:rsid w:val="00E66965"/>
    <w:rsid w:val="00E676F2"/>
    <w:rsid w:val="00E67D31"/>
    <w:rsid w:val="00E71402"/>
    <w:rsid w:val="00E717D0"/>
    <w:rsid w:val="00E7186F"/>
    <w:rsid w:val="00E71AE3"/>
    <w:rsid w:val="00E73C6A"/>
    <w:rsid w:val="00E74140"/>
    <w:rsid w:val="00E74206"/>
    <w:rsid w:val="00E80FE3"/>
    <w:rsid w:val="00E817D6"/>
    <w:rsid w:val="00E824EE"/>
    <w:rsid w:val="00E82878"/>
    <w:rsid w:val="00E82FBF"/>
    <w:rsid w:val="00E84941"/>
    <w:rsid w:val="00E85EAE"/>
    <w:rsid w:val="00E86C0C"/>
    <w:rsid w:val="00E90081"/>
    <w:rsid w:val="00E908F7"/>
    <w:rsid w:val="00E91067"/>
    <w:rsid w:val="00E9483B"/>
    <w:rsid w:val="00E96D80"/>
    <w:rsid w:val="00E978F6"/>
    <w:rsid w:val="00EA2445"/>
    <w:rsid w:val="00EA4B86"/>
    <w:rsid w:val="00EA4EC5"/>
    <w:rsid w:val="00EA6871"/>
    <w:rsid w:val="00EA6D9C"/>
    <w:rsid w:val="00EA737E"/>
    <w:rsid w:val="00EB0440"/>
    <w:rsid w:val="00EB1556"/>
    <w:rsid w:val="00EB1AC7"/>
    <w:rsid w:val="00EB1CEC"/>
    <w:rsid w:val="00EB2659"/>
    <w:rsid w:val="00EB2950"/>
    <w:rsid w:val="00EB3E59"/>
    <w:rsid w:val="00EB42D9"/>
    <w:rsid w:val="00EB5454"/>
    <w:rsid w:val="00EB5B0A"/>
    <w:rsid w:val="00EB5C7C"/>
    <w:rsid w:val="00EB7480"/>
    <w:rsid w:val="00EB7E9D"/>
    <w:rsid w:val="00EC0918"/>
    <w:rsid w:val="00EC0FE7"/>
    <w:rsid w:val="00EC17C5"/>
    <w:rsid w:val="00EC21DC"/>
    <w:rsid w:val="00EC3421"/>
    <w:rsid w:val="00EC3926"/>
    <w:rsid w:val="00EC6F58"/>
    <w:rsid w:val="00EC7293"/>
    <w:rsid w:val="00EC7755"/>
    <w:rsid w:val="00EC78A8"/>
    <w:rsid w:val="00EC79BB"/>
    <w:rsid w:val="00EC7B1D"/>
    <w:rsid w:val="00EC7F1E"/>
    <w:rsid w:val="00ED0C98"/>
    <w:rsid w:val="00ED28A2"/>
    <w:rsid w:val="00ED2F96"/>
    <w:rsid w:val="00ED312F"/>
    <w:rsid w:val="00ED4756"/>
    <w:rsid w:val="00ED4C43"/>
    <w:rsid w:val="00ED5294"/>
    <w:rsid w:val="00ED6224"/>
    <w:rsid w:val="00ED6329"/>
    <w:rsid w:val="00ED6651"/>
    <w:rsid w:val="00ED687D"/>
    <w:rsid w:val="00ED6B62"/>
    <w:rsid w:val="00EE0819"/>
    <w:rsid w:val="00EE0946"/>
    <w:rsid w:val="00EE3364"/>
    <w:rsid w:val="00EE3411"/>
    <w:rsid w:val="00EE49C4"/>
    <w:rsid w:val="00EE4CE7"/>
    <w:rsid w:val="00EE52DA"/>
    <w:rsid w:val="00EE5C88"/>
    <w:rsid w:val="00EE666F"/>
    <w:rsid w:val="00EF13D0"/>
    <w:rsid w:val="00EF1689"/>
    <w:rsid w:val="00EF51B6"/>
    <w:rsid w:val="00EF6C10"/>
    <w:rsid w:val="00EF6F3F"/>
    <w:rsid w:val="00EF74DE"/>
    <w:rsid w:val="00F022C2"/>
    <w:rsid w:val="00F02AF2"/>
    <w:rsid w:val="00F02BC4"/>
    <w:rsid w:val="00F02E0D"/>
    <w:rsid w:val="00F067C8"/>
    <w:rsid w:val="00F100A2"/>
    <w:rsid w:val="00F10A19"/>
    <w:rsid w:val="00F115B5"/>
    <w:rsid w:val="00F116F3"/>
    <w:rsid w:val="00F11816"/>
    <w:rsid w:val="00F127F7"/>
    <w:rsid w:val="00F12F3F"/>
    <w:rsid w:val="00F15311"/>
    <w:rsid w:val="00F16B09"/>
    <w:rsid w:val="00F16BAD"/>
    <w:rsid w:val="00F17482"/>
    <w:rsid w:val="00F2011C"/>
    <w:rsid w:val="00F23476"/>
    <w:rsid w:val="00F25601"/>
    <w:rsid w:val="00F26871"/>
    <w:rsid w:val="00F26EB6"/>
    <w:rsid w:val="00F26F00"/>
    <w:rsid w:val="00F31907"/>
    <w:rsid w:val="00F32094"/>
    <w:rsid w:val="00F33ADF"/>
    <w:rsid w:val="00F33ED5"/>
    <w:rsid w:val="00F3447C"/>
    <w:rsid w:val="00F350A5"/>
    <w:rsid w:val="00F36298"/>
    <w:rsid w:val="00F36643"/>
    <w:rsid w:val="00F36B6C"/>
    <w:rsid w:val="00F376D2"/>
    <w:rsid w:val="00F40091"/>
    <w:rsid w:val="00F43A96"/>
    <w:rsid w:val="00F5102C"/>
    <w:rsid w:val="00F519E1"/>
    <w:rsid w:val="00F5233B"/>
    <w:rsid w:val="00F528B7"/>
    <w:rsid w:val="00F5321F"/>
    <w:rsid w:val="00F5352A"/>
    <w:rsid w:val="00F5385F"/>
    <w:rsid w:val="00F5510F"/>
    <w:rsid w:val="00F552B7"/>
    <w:rsid w:val="00F559C6"/>
    <w:rsid w:val="00F661E5"/>
    <w:rsid w:val="00F66DC2"/>
    <w:rsid w:val="00F7065B"/>
    <w:rsid w:val="00F70A09"/>
    <w:rsid w:val="00F74A8C"/>
    <w:rsid w:val="00F75B15"/>
    <w:rsid w:val="00F75D20"/>
    <w:rsid w:val="00F75E6D"/>
    <w:rsid w:val="00F8111E"/>
    <w:rsid w:val="00F8318F"/>
    <w:rsid w:val="00F83375"/>
    <w:rsid w:val="00F83794"/>
    <w:rsid w:val="00F83CD2"/>
    <w:rsid w:val="00F844C6"/>
    <w:rsid w:val="00F865D3"/>
    <w:rsid w:val="00F910B3"/>
    <w:rsid w:val="00F919A4"/>
    <w:rsid w:val="00F9208C"/>
    <w:rsid w:val="00F923AC"/>
    <w:rsid w:val="00F93938"/>
    <w:rsid w:val="00F93AB7"/>
    <w:rsid w:val="00F957CE"/>
    <w:rsid w:val="00F9647D"/>
    <w:rsid w:val="00F9649E"/>
    <w:rsid w:val="00FA2DDA"/>
    <w:rsid w:val="00FA38B9"/>
    <w:rsid w:val="00FA471F"/>
    <w:rsid w:val="00FA4D34"/>
    <w:rsid w:val="00FA5B00"/>
    <w:rsid w:val="00FA65FF"/>
    <w:rsid w:val="00FA673D"/>
    <w:rsid w:val="00FA6D72"/>
    <w:rsid w:val="00FA6E1B"/>
    <w:rsid w:val="00FB1636"/>
    <w:rsid w:val="00FB5AC6"/>
    <w:rsid w:val="00FB63AA"/>
    <w:rsid w:val="00FB7E9C"/>
    <w:rsid w:val="00FC21EC"/>
    <w:rsid w:val="00FC2401"/>
    <w:rsid w:val="00FC4723"/>
    <w:rsid w:val="00FC5A47"/>
    <w:rsid w:val="00FC67BE"/>
    <w:rsid w:val="00FD08FE"/>
    <w:rsid w:val="00FD0F69"/>
    <w:rsid w:val="00FD409A"/>
    <w:rsid w:val="00FD5272"/>
    <w:rsid w:val="00FD5750"/>
    <w:rsid w:val="00FD600E"/>
    <w:rsid w:val="00FD61F9"/>
    <w:rsid w:val="00FE04BB"/>
    <w:rsid w:val="00FE496F"/>
    <w:rsid w:val="00FE53B6"/>
    <w:rsid w:val="00FE6A45"/>
    <w:rsid w:val="00FF007A"/>
    <w:rsid w:val="00FF1AB5"/>
    <w:rsid w:val="00FF1BED"/>
    <w:rsid w:val="00FF1DAF"/>
    <w:rsid w:val="00FF1E58"/>
    <w:rsid w:val="00FF3777"/>
    <w:rsid w:val="00FF3E8B"/>
    <w:rsid w:val="00FF6FFB"/>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BC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IE" w:eastAsia="en-IE"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header" w:uiPriority="99"/>
    <w:lsdException w:name="caption" w:uiPriority="35" w:qFormat="1"/>
    <w:lsdException w:name="table of figures"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6CB7"/>
    <w:pPr>
      <w:spacing w:line="360" w:lineRule="auto"/>
      <w:jc w:val="both"/>
    </w:pPr>
    <w:rPr>
      <w:sz w:val="22"/>
      <w:szCs w:val="24"/>
      <w:lang w:val="en-GB" w:eastAsia="en-US"/>
    </w:rPr>
  </w:style>
  <w:style w:type="paragraph" w:styleId="Heading1">
    <w:name w:val="heading 1"/>
    <w:basedOn w:val="Normal"/>
    <w:next w:val="Normal"/>
    <w:link w:val="Heading1Char"/>
    <w:uiPriority w:val="9"/>
    <w:qFormat/>
    <w:rsid w:val="00A41A5C"/>
    <w:pPr>
      <w:keepNext/>
      <w:numPr>
        <w:numId w:val="1"/>
      </w:numPr>
      <w:spacing w:before="240" w:after="60"/>
      <w:outlineLvl w:val="0"/>
    </w:pPr>
    <w:rPr>
      <w:rFonts w:cs="Arial"/>
      <w:b/>
      <w:bCs/>
      <w:caps/>
      <w:kern w:val="32"/>
      <w:szCs w:val="32"/>
    </w:rPr>
  </w:style>
  <w:style w:type="paragraph" w:styleId="Heading2">
    <w:name w:val="heading 2"/>
    <w:basedOn w:val="Normal"/>
    <w:next w:val="Normal"/>
    <w:link w:val="Heading2Char"/>
    <w:uiPriority w:val="9"/>
    <w:qFormat/>
    <w:rsid w:val="00C25ABC"/>
    <w:pPr>
      <w:keepNext/>
      <w:numPr>
        <w:ilvl w:val="1"/>
        <w:numId w:val="1"/>
      </w:numPr>
      <w:tabs>
        <w:tab w:val="clear" w:pos="9507"/>
        <w:tab w:val="num" w:pos="576"/>
      </w:tabs>
      <w:spacing w:before="240" w:after="60"/>
      <w:ind w:left="576"/>
      <w:outlineLvl w:val="1"/>
    </w:pPr>
    <w:rPr>
      <w:rFonts w:cs="Arial"/>
      <w:b/>
      <w:bCs/>
      <w:iCs/>
      <w:szCs w:val="28"/>
    </w:rPr>
  </w:style>
  <w:style w:type="paragraph" w:styleId="Heading3">
    <w:name w:val="heading 3"/>
    <w:basedOn w:val="Normal"/>
    <w:next w:val="Normal"/>
    <w:link w:val="Heading3Char"/>
    <w:uiPriority w:val="9"/>
    <w:qFormat/>
    <w:rsid w:val="00C25ABC"/>
    <w:pPr>
      <w:keepNext/>
      <w:numPr>
        <w:ilvl w:val="2"/>
        <w:numId w:val="1"/>
      </w:numPr>
      <w:spacing w:before="240" w:after="60"/>
      <w:outlineLvl w:val="2"/>
    </w:pPr>
    <w:rPr>
      <w:rFonts w:cs="Arial"/>
      <w:b/>
      <w:bCs/>
      <w:szCs w:val="26"/>
    </w:rPr>
  </w:style>
  <w:style w:type="paragraph" w:styleId="Heading4">
    <w:name w:val="heading 4"/>
    <w:basedOn w:val="Normal"/>
    <w:next w:val="Normal"/>
    <w:link w:val="Heading4Char"/>
    <w:uiPriority w:val="9"/>
    <w:qFormat/>
    <w:rsid w:val="00F93938"/>
    <w:pPr>
      <w:keepNext/>
      <w:numPr>
        <w:ilvl w:val="3"/>
        <w:numId w:val="1"/>
      </w:numPr>
      <w:spacing w:before="240" w:after="60"/>
      <w:ind w:left="862" w:hanging="862"/>
      <w:outlineLvl w:val="3"/>
    </w:pPr>
    <w:rPr>
      <w:b/>
      <w:bCs/>
      <w:szCs w:val="28"/>
    </w:rPr>
  </w:style>
  <w:style w:type="paragraph" w:styleId="Heading5">
    <w:name w:val="heading 5"/>
    <w:basedOn w:val="Normal"/>
    <w:next w:val="Normal"/>
    <w:link w:val="Heading5Char"/>
    <w:uiPriority w:val="9"/>
    <w:qFormat/>
    <w:rsid w:val="00BA1719"/>
    <w:pPr>
      <w:numPr>
        <w:ilvl w:val="4"/>
        <w:numId w:val="1"/>
      </w:numPr>
      <w:spacing w:before="240" w:after="60"/>
      <w:outlineLvl w:val="4"/>
    </w:pPr>
    <w:rPr>
      <w:b/>
      <w:bCs/>
      <w:i/>
      <w:iCs/>
      <w:sz w:val="26"/>
      <w:szCs w:val="26"/>
    </w:rPr>
  </w:style>
  <w:style w:type="paragraph" w:styleId="Heading6">
    <w:name w:val="heading 6"/>
    <w:basedOn w:val="Normal"/>
    <w:next w:val="Normal"/>
    <w:link w:val="Heading6Char"/>
    <w:uiPriority w:val="9"/>
    <w:qFormat/>
    <w:rsid w:val="00BA1719"/>
    <w:pPr>
      <w:numPr>
        <w:ilvl w:val="5"/>
        <w:numId w:val="1"/>
      </w:numPr>
      <w:spacing w:before="240" w:after="60"/>
      <w:outlineLvl w:val="5"/>
    </w:pPr>
    <w:rPr>
      <w:b/>
      <w:bCs/>
      <w:szCs w:val="22"/>
    </w:rPr>
  </w:style>
  <w:style w:type="paragraph" w:styleId="Heading7">
    <w:name w:val="heading 7"/>
    <w:basedOn w:val="Normal"/>
    <w:next w:val="Normal"/>
    <w:link w:val="Heading7Char"/>
    <w:uiPriority w:val="9"/>
    <w:qFormat/>
    <w:rsid w:val="00BA1719"/>
    <w:pPr>
      <w:numPr>
        <w:ilvl w:val="6"/>
        <w:numId w:val="1"/>
      </w:numPr>
      <w:spacing w:before="240" w:after="60"/>
      <w:outlineLvl w:val="6"/>
    </w:pPr>
  </w:style>
  <w:style w:type="paragraph" w:styleId="Heading8">
    <w:name w:val="heading 8"/>
    <w:basedOn w:val="Normal"/>
    <w:next w:val="Normal"/>
    <w:link w:val="Heading8Char"/>
    <w:uiPriority w:val="9"/>
    <w:qFormat/>
    <w:rsid w:val="00BA1719"/>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BA1719"/>
    <w:pPr>
      <w:numPr>
        <w:ilvl w:val="8"/>
        <w:numId w:val="1"/>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531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8C08AA"/>
    <w:rPr>
      <w:rFonts w:ascii="Tahoma" w:hAnsi="Tahoma" w:cs="Tahoma"/>
      <w:sz w:val="16"/>
      <w:szCs w:val="16"/>
    </w:rPr>
  </w:style>
  <w:style w:type="paragraph" w:styleId="TOC1">
    <w:name w:val="toc 1"/>
    <w:basedOn w:val="Normal"/>
    <w:next w:val="Normal"/>
    <w:autoRedefine/>
    <w:uiPriority w:val="39"/>
    <w:rsid w:val="003E47A1"/>
    <w:pPr>
      <w:tabs>
        <w:tab w:val="left" w:pos="480"/>
        <w:tab w:val="right" w:leader="dot" w:pos="8630"/>
      </w:tabs>
    </w:pPr>
  </w:style>
  <w:style w:type="paragraph" w:styleId="TOC2">
    <w:name w:val="toc 2"/>
    <w:basedOn w:val="Normal"/>
    <w:next w:val="Normal"/>
    <w:autoRedefine/>
    <w:uiPriority w:val="39"/>
    <w:rsid w:val="003B1D73"/>
    <w:pPr>
      <w:ind w:left="240"/>
    </w:pPr>
  </w:style>
  <w:style w:type="character" w:styleId="Hyperlink">
    <w:name w:val="Hyperlink"/>
    <w:uiPriority w:val="99"/>
    <w:rsid w:val="003B1D73"/>
    <w:rPr>
      <w:color w:val="0000FF"/>
      <w:u w:val="single"/>
    </w:rPr>
  </w:style>
  <w:style w:type="paragraph" w:styleId="Caption">
    <w:name w:val="caption"/>
    <w:basedOn w:val="Normal"/>
    <w:next w:val="Normal"/>
    <w:uiPriority w:val="35"/>
    <w:qFormat/>
    <w:rsid w:val="00E90081"/>
    <w:pPr>
      <w:jc w:val="center"/>
    </w:pPr>
    <w:rPr>
      <w:b/>
      <w:bCs/>
      <w:sz w:val="20"/>
      <w:szCs w:val="20"/>
    </w:rPr>
  </w:style>
  <w:style w:type="paragraph" w:styleId="TableofFigures">
    <w:name w:val="table of figures"/>
    <w:basedOn w:val="Normal"/>
    <w:next w:val="Normal"/>
    <w:uiPriority w:val="99"/>
    <w:rsid w:val="00096D61"/>
  </w:style>
  <w:style w:type="paragraph" w:customStyle="1" w:styleId="StyleCaptionCentered">
    <w:name w:val="Style Caption + Centered"/>
    <w:basedOn w:val="Caption"/>
    <w:rsid w:val="00F116F3"/>
  </w:style>
  <w:style w:type="character" w:customStyle="1" w:styleId="Heading3Char">
    <w:name w:val="Heading 3 Char"/>
    <w:link w:val="Heading3"/>
    <w:uiPriority w:val="9"/>
    <w:rsid w:val="00C25ABC"/>
    <w:rPr>
      <w:rFonts w:cs="Arial"/>
      <w:b/>
      <w:bCs/>
      <w:sz w:val="24"/>
      <w:szCs w:val="26"/>
      <w:lang w:val="en-GB" w:eastAsia="en-US"/>
    </w:rPr>
  </w:style>
  <w:style w:type="paragraph" w:styleId="TOC3">
    <w:name w:val="toc 3"/>
    <w:basedOn w:val="Normal"/>
    <w:next w:val="Normal"/>
    <w:autoRedefine/>
    <w:uiPriority w:val="39"/>
    <w:rsid w:val="00AC180E"/>
    <w:pPr>
      <w:ind w:left="480"/>
    </w:pPr>
  </w:style>
  <w:style w:type="character" w:styleId="Emphasis">
    <w:name w:val="Emphasis"/>
    <w:uiPriority w:val="20"/>
    <w:qFormat/>
    <w:rsid w:val="006C6B40"/>
    <w:rPr>
      <w:i/>
      <w:iCs/>
    </w:rPr>
  </w:style>
  <w:style w:type="character" w:customStyle="1" w:styleId="text">
    <w:name w:val="text"/>
    <w:basedOn w:val="DefaultParagraphFont"/>
    <w:rsid w:val="007C4F66"/>
  </w:style>
  <w:style w:type="paragraph" w:styleId="Footer">
    <w:name w:val="footer"/>
    <w:basedOn w:val="Normal"/>
    <w:rsid w:val="00407EFE"/>
    <w:pPr>
      <w:tabs>
        <w:tab w:val="center" w:pos="4153"/>
        <w:tab w:val="right" w:pos="8306"/>
      </w:tabs>
    </w:pPr>
  </w:style>
  <w:style w:type="character" w:styleId="PageNumber">
    <w:name w:val="page number"/>
    <w:basedOn w:val="DefaultParagraphFont"/>
    <w:rsid w:val="00407EFE"/>
  </w:style>
  <w:style w:type="character" w:styleId="FollowedHyperlink">
    <w:name w:val="FollowedHyperlink"/>
    <w:rsid w:val="00453673"/>
    <w:rPr>
      <w:color w:val="800080"/>
      <w:u w:val="single"/>
    </w:rPr>
  </w:style>
  <w:style w:type="paragraph" w:customStyle="1" w:styleId="StyleHeading3JustifiedLinespacingsingle">
    <w:name w:val="Style Heading 3 + Justified Line spacing:  single"/>
    <w:basedOn w:val="Heading3"/>
    <w:rsid w:val="003E47A1"/>
    <w:rPr>
      <w:rFonts w:cs="Times New Roman"/>
      <w:szCs w:val="20"/>
    </w:rPr>
  </w:style>
  <w:style w:type="paragraph" w:customStyle="1" w:styleId="Style1">
    <w:name w:val="Style1"/>
    <w:basedOn w:val="Heading1"/>
    <w:link w:val="Style1Char"/>
    <w:rsid w:val="004104D7"/>
  </w:style>
  <w:style w:type="character" w:customStyle="1" w:styleId="Heading1Char">
    <w:name w:val="Heading 1 Char"/>
    <w:basedOn w:val="DefaultParagraphFont"/>
    <w:link w:val="Heading1"/>
    <w:uiPriority w:val="9"/>
    <w:rsid w:val="00A41A5C"/>
    <w:rPr>
      <w:rFonts w:cs="Arial"/>
      <w:b/>
      <w:bCs/>
      <w:caps/>
      <w:kern w:val="32"/>
      <w:sz w:val="24"/>
      <w:szCs w:val="32"/>
      <w:lang w:val="en-GB" w:eastAsia="en-US"/>
    </w:rPr>
  </w:style>
  <w:style w:type="character" w:customStyle="1" w:styleId="Style1Char">
    <w:name w:val="Style1 Char"/>
    <w:basedOn w:val="Heading1Char"/>
    <w:link w:val="Style1"/>
    <w:rsid w:val="004104D7"/>
    <w:rPr>
      <w:rFonts w:cs="Arial"/>
      <w:b/>
      <w:bCs/>
      <w:caps/>
      <w:kern w:val="32"/>
      <w:sz w:val="24"/>
      <w:szCs w:val="32"/>
      <w:lang w:val="en-GB" w:eastAsia="en-US"/>
    </w:rPr>
  </w:style>
  <w:style w:type="numbering" w:customStyle="1" w:styleId="NoList1">
    <w:name w:val="No List1"/>
    <w:next w:val="NoList"/>
    <w:uiPriority w:val="99"/>
    <w:semiHidden/>
    <w:unhideWhenUsed/>
    <w:rsid w:val="00A41A5C"/>
  </w:style>
  <w:style w:type="paragraph" w:styleId="EndnoteText">
    <w:name w:val="endnote text"/>
    <w:basedOn w:val="Normal"/>
    <w:link w:val="EndnoteTextChar"/>
    <w:uiPriority w:val="99"/>
    <w:unhideWhenUsed/>
    <w:rsid w:val="00A41A5C"/>
    <w:rPr>
      <w:rFonts w:eastAsiaTheme="minorEastAsia" w:cstheme="minorBidi"/>
      <w:sz w:val="20"/>
      <w:szCs w:val="20"/>
      <w:lang w:val="en-IE"/>
    </w:rPr>
  </w:style>
  <w:style w:type="character" w:customStyle="1" w:styleId="EndnoteTextChar">
    <w:name w:val="Endnote Text Char"/>
    <w:basedOn w:val="DefaultParagraphFont"/>
    <w:link w:val="EndnoteText"/>
    <w:uiPriority w:val="99"/>
    <w:rsid w:val="00A41A5C"/>
    <w:rPr>
      <w:rFonts w:eastAsiaTheme="minorEastAsia" w:cstheme="minorBidi"/>
      <w:lang w:eastAsia="en-US"/>
    </w:rPr>
  </w:style>
  <w:style w:type="character" w:styleId="EndnoteReference">
    <w:name w:val="endnote reference"/>
    <w:basedOn w:val="DefaultParagraphFont"/>
    <w:uiPriority w:val="99"/>
    <w:unhideWhenUsed/>
    <w:rsid w:val="00A41A5C"/>
    <w:rPr>
      <w:vertAlign w:val="superscript"/>
    </w:rPr>
  </w:style>
  <w:style w:type="table" w:customStyle="1" w:styleId="TableGrid1">
    <w:name w:val="Table Grid1"/>
    <w:basedOn w:val="TableNormal"/>
    <w:next w:val="TableGrid"/>
    <w:uiPriority w:val="59"/>
    <w:rsid w:val="00A41A5C"/>
    <w:rPr>
      <w:rFonts w:asciiTheme="minorHAnsi" w:eastAsiaTheme="minorEastAsia"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41A5C"/>
    <w:pPr>
      <w:spacing w:after="200" w:line="276" w:lineRule="auto"/>
      <w:ind w:left="720"/>
      <w:contextualSpacing/>
    </w:pPr>
    <w:rPr>
      <w:rFonts w:eastAsiaTheme="minorEastAsia" w:cstheme="minorBidi"/>
      <w:szCs w:val="22"/>
      <w:lang w:val="en-IE"/>
    </w:rPr>
  </w:style>
  <w:style w:type="table" w:styleId="LightShading">
    <w:name w:val="Light Shading"/>
    <w:basedOn w:val="TableNormal"/>
    <w:uiPriority w:val="60"/>
    <w:rsid w:val="00A41A5C"/>
    <w:rPr>
      <w:rFonts w:asciiTheme="minorHAnsi" w:eastAsiaTheme="minorEastAsia"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
    <w:name w:val="Light List"/>
    <w:basedOn w:val="TableNormal"/>
    <w:uiPriority w:val="61"/>
    <w:rsid w:val="00A41A5C"/>
    <w:rPr>
      <w:rFonts w:asciiTheme="minorHAnsi" w:eastAsiaTheme="minorEastAsia"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1">
    <w:name w:val="Light Shading Accent 1"/>
    <w:basedOn w:val="TableNormal"/>
    <w:uiPriority w:val="60"/>
    <w:rsid w:val="00A41A5C"/>
    <w:rPr>
      <w:rFonts w:asciiTheme="minorHAnsi" w:eastAsiaTheme="minorEastAsia" w:hAnsiTheme="minorHAnsi" w:cstheme="minorBidi"/>
      <w:color w:val="365F91" w:themeColor="accent1" w:themeShade="BF"/>
      <w:sz w:val="22"/>
      <w:szCs w:val="22"/>
      <w:lang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3">
    <w:name w:val="Light Shading Accent 3"/>
    <w:basedOn w:val="TableNormal"/>
    <w:uiPriority w:val="60"/>
    <w:rsid w:val="00A41A5C"/>
    <w:rPr>
      <w:rFonts w:asciiTheme="minorHAnsi" w:eastAsiaTheme="minorEastAsia" w:hAnsiTheme="minorHAnsi" w:cstheme="minorBidi"/>
      <w:color w:val="76923C" w:themeColor="accent3" w:themeShade="BF"/>
      <w:sz w:val="22"/>
      <w:szCs w:val="22"/>
      <w:lang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customStyle="1" w:styleId="BalloonTextChar">
    <w:name w:val="Balloon Text Char"/>
    <w:basedOn w:val="DefaultParagraphFont"/>
    <w:link w:val="BalloonText"/>
    <w:uiPriority w:val="99"/>
    <w:semiHidden/>
    <w:rsid w:val="00A41A5C"/>
    <w:rPr>
      <w:rFonts w:ascii="Tahoma" w:hAnsi="Tahoma" w:cs="Tahoma"/>
      <w:sz w:val="16"/>
      <w:szCs w:val="16"/>
      <w:lang w:val="en-GB" w:eastAsia="en-US"/>
    </w:rPr>
  </w:style>
  <w:style w:type="character" w:styleId="PlaceholderText">
    <w:name w:val="Placeholder Text"/>
    <w:basedOn w:val="DefaultParagraphFont"/>
    <w:uiPriority w:val="99"/>
    <w:semiHidden/>
    <w:rsid w:val="00A41A5C"/>
    <w:rPr>
      <w:color w:val="808080"/>
    </w:rPr>
  </w:style>
  <w:style w:type="character" w:customStyle="1" w:styleId="Heading2Char">
    <w:name w:val="Heading 2 Char"/>
    <w:basedOn w:val="DefaultParagraphFont"/>
    <w:link w:val="Heading2"/>
    <w:uiPriority w:val="9"/>
    <w:rsid w:val="00A41A5C"/>
    <w:rPr>
      <w:rFonts w:cs="Arial"/>
      <w:b/>
      <w:bCs/>
      <w:iCs/>
      <w:sz w:val="24"/>
      <w:szCs w:val="28"/>
      <w:lang w:val="en-GB" w:eastAsia="en-US"/>
    </w:rPr>
  </w:style>
  <w:style w:type="character" w:customStyle="1" w:styleId="Heading4Char">
    <w:name w:val="Heading 4 Char"/>
    <w:basedOn w:val="DefaultParagraphFont"/>
    <w:link w:val="Heading4"/>
    <w:uiPriority w:val="9"/>
    <w:rsid w:val="00F93938"/>
    <w:rPr>
      <w:b/>
      <w:bCs/>
      <w:sz w:val="24"/>
      <w:szCs w:val="28"/>
      <w:lang w:val="en-GB" w:eastAsia="en-US"/>
    </w:rPr>
  </w:style>
  <w:style w:type="character" w:customStyle="1" w:styleId="Heading5Char">
    <w:name w:val="Heading 5 Char"/>
    <w:basedOn w:val="DefaultParagraphFont"/>
    <w:link w:val="Heading5"/>
    <w:uiPriority w:val="9"/>
    <w:rsid w:val="00A41A5C"/>
    <w:rPr>
      <w:b/>
      <w:bCs/>
      <w:i/>
      <w:iCs/>
      <w:sz w:val="26"/>
      <w:szCs w:val="26"/>
      <w:lang w:val="en-GB" w:eastAsia="en-US"/>
    </w:rPr>
  </w:style>
  <w:style w:type="character" w:customStyle="1" w:styleId="Heading6Char">
    <w:name w:val="Heading 6 Char"/>
    <w:basedOn w:val="DefaultParagraphFont"/>
    <w:link w:val="Heading6"/>
    <w:uiPriority w:val="9"/>
    <w:rsid w:val="00A41A5C"/>
    <w:rPr>
      <w:b/>
      <w:bCs/>
      <w:sz w:val="22"/>
      <w:szCs w:val="22"/>
      <w:lang w:val="en-GB" w:eastAsia="en-US"/>
    </w:rPr>
  </w:style>
  <w:style w:type="character" w:customStyle="1" w:styleId="Heading7Char">
    <w:name w:val="Heading 7 Char"/>
    <w:basedOn w:val="DefaultParagraphFont"/>
    <w:link w:val="Heading7"/>
    <w:uiPriority w:val="9"/>
    <w:rsid w:val="00A41A5C"/>
    <w:rPr>
      <w:sz w:val="24"/>
      <w:szCs w:val="24"/>
      <w:lang w:val="en-GB" w:eastAsia="en-US"/>
    </w:rPr>
  </w:style>
  <w:style w:type="character" w:customStyle="1" w:styleId="Heading8Char">
    <w:name w:val="Heading 8 Char"/>
    <w:basedOn w:val="DefaultParagraphFont"/>
    <w:link w:val="Heading8"/>
    <w:uiPriority w:val="9"/>
    <w:rsid w:val="00A41A5C"/>
    <w:rPr>
      <w:i/>
      <w:iCs/>
      <w:sz w:val="24"/>
      <w:szCs w:val="24"/>
      <w:lang w:val="en-GB" w:eastAsia="en-US"/>
    </w:rPr>
  </w:style>
  <w:style w:type="character" w:customStyle="1" w:styleId="Heading9Char">
    <w:name w:val="Heading 9 Char"/>
    <w:basedOn w:val="DefaultParagraphFont"/>
    <w:link w:val="Heading9"/>
    <w:uiPriority w:val="9"/>
    <w:rsid w:val="00A41A5C"/>
    <w:rPr>
      <w:rFonts w:ascii="Arial" w:hAnsi="Arial" w:cs="Arial"/>
      <w:sz w:val="22"/>
      <w:szCs w:val="22"/>
      <w:lang w:val="en-GB" w:eastAsia="en-US"/>
    </w:rPr>
  </w:style>
  <w:style w:type="paragraph" w:styleId="Title">
    <w:name w:val="Title"/>
    <w:basedOn w:val="Normal"/>
    <w:next w:val="Normal"/>
    <w:link w:val="TitleChar"/>
    <w:uiPriority w:val="10"/>
    <w:qFormat/>
    <w:rsid w:val="00A41A5C"/>
    <w:pPr>
      <w:pBdr>
        <w:bottom w:val="single" w:sz="4" w:space="1" w:color="auto"/>
      </w:pBdr>
      <w:spacing w:after="200"/>
      <w:contextualSpacing/>
    </w:pPr>
    <w:rPr>
      <w:rFonts w:asciiTheme="majorHAnsi" w:eastAsiaTheme="majorEastAsia" w:hAnsiTheme="majorHAnsi" w:cstheme="majorBidi"/>
      <w:spacing w:val="5"/>
      <w:sz w:val="52"/>
      <w:szCs w:val="52"/>
      <w:lang w:val="en-IE"/>
    </w:rPr>
  </w:style>
  <w:style w:type="character" w:customStyle="1" w:styleId="TitleChar">
    <w:name w:val="Title Char"/>
    <w:basedOn w:val="DefaultParagraphFont"/>
    <w:link w:val="Title"/>
    <w:uiPriority w:val="10"/>
    <w:rsid w:val="00A41A5C"/>
    <w:rPr>
      <w:rFonts w:asciiTheme="majorHAnsi" w:eastAsiaTheme="majorEastAsia" w:hAnsiTheme="majorHAnsi" w:cstheme="majorBidi"/>
      <w:spacing w:val="5"/>
      <w:sz w:val="52"/>
      <w:szCs w:val="52"/>
      <w:lang w:eastAsia="en-US"/>
    </w:rPr>
  </w:style>
  <w:style w:type="paragraph" w:styleId="Subtitle">
    <w:name w:val="Subtitle"/>
    <w:aliases w:val="Italic title,CAPS"/>
    <w:basedOn w:val="Normal"/>
    <w:next w:val="Normal"/>
    <w:link w:val="SubtitleChar"/>
    <w:uiPriority w:val="11"/>
    <w:qFormat/>
    <w:rsid w:val="000E1D85"/>
    <w:rPr>
      <w:rFonts w:eastAsiaTheme="minorEastAsia"/>
      <w:i/>
      <w:caps/>
      <w:lang w:val="en-US"/>
    </w:rPr>
  </w:style>
  <w:style w:type="character" w:customStyle="1" w:styleId="SubtitleChar">
    <w:name w:val="Subtitle Char"/>
    <w:aliases w:val="Italic title Char,CAPS Char"/>
    <w:basedOn w:val="DefaultParagraphFont"/>
    <w:link w:val="Subtitle"/>
    <w:uiPriority w:val="11"/>
    <w:rsid w:val="000E1D85"/>
    <w:rPr>
      <w:rFonts w:eastAsiaTheme="minorEastAsia"/>
      <w:i/>
      <w:caps/>
      <w:sz w:val="24"/>
      <w:szCs w:val="24"/>
      <w:lang w:val="en-US" w:eastAsia="en-US"/>
    </w:rPr>
  </w:style>
  <w:style w:type="character" w:styleId="Strong">
    <w:name w:val="Strong"/>
    <w:uiPriority w:val="22"/>
    <w:qFormat/>
    <w:rsid w:val="00A41A5C"/>
    <w:rPr>
      <w:b/>
      <w:bCs/>
    </w:rPr>
  </w:style>
  <w:style w:type="paragraph" w:styleId="NoSpacing">
    <w:name w:val="No Spacing"/>
    <w:basedOn w:val="Normal"/>
    <w:link w:val="NoSpacingChar"/>
    <w:uiPriority w:val="1"/>
    <w:qFormat/>
    <w:rsid w:val="00A41A5C"/>
    <w:rPr>
      <w:rFonts w:eastAsiaTheme="minorEastAsia" w:cstheme="minorBidi"/>
      <w:szCs w:val="22"/>
      <w:lang w:val="en-IE"/>
    </w:rPr>
  </w:style>
  <w:style w:type="paragraph" w:styleId="Quote">
    <w:name w:val="Quote"/>
    <w:basedOn w:val="Normal"/>
    <w:next w:val="Normal"/>
    <w:link w:val="QuoteChar"/>
    <w:uiPriority w:val="29"/>
    <w:qFormat/>
    <w:rsid w:val="00A41A5C"/>
    <w:pPr>
      <w:spacing w:before="200" w:line="276" w:lineRule="auto"/>
      <w:ind w:left="360" w:right="360"/>
    </w:pPr>
    <w:rPr>
      <w:rFonts w:eastAsiaTheme="minorEastAsia" w:cstheme="minorBidi"/>
      <w:i/>
      <w:iCs/>
      <w:szCs w:val="22"/>
      <w:lang w:val="en-IE"/>
    </w:rPr>
  </w:style>
  <w:style w:type="character" w:customStyle="1" w:styleId="QuoteChar">
    <w:name w:val="Quote Char"/>
    <w:basedOn w:val="DefaultParagraphFont"/>
    <w:link w:val="Quote"/>
    <w:uiPriority w:val="29"/>
    <w:rsid w:val="00A41A5C"/>
    <w:rPr>
      <w:rFonts w:eastAsiaTheme="minorEastAsia" w:cstheme="minorBidi"/>
      <w:i/>
      <w:iCs/>
      <w:sz w:val="24"/>
      <w:szCs w:val="22"/>
      <w:lang w:eastAsia="en-US"/>
    </w:rPr>
  </w:style>
  <w:style w:type="paragraph" w:styleId="IntenseQuote">
    <w:name w:val="Intense Quote"/>
    <w:basedOn w:val="Normal"/>
    <w:next w:val="Normal"/>
    <w:link w:val="IntenseQuoteChar"/>
    <w:uiPriority w:val="30"/>
    <w:qFormat/>
    <w:rsid w:val="00A41A5C"/>
    <w:pPr>
      <w:pBdr>
        <w:bottom w:val="single" w:sz="4" w:space="1" w:color="auto"/>
      </w:pBdr>
      <w:spacing w:before="200" w:after="280" w:line="276" w:lineRule="auto"/>
      <w:ind w:left="1008" w:right="1152"/>
    </w:pPr>
    <w:rPr>
      <w:rFonts w:eastAsiaTheme="minorEastAsia" w:cstheme="minorBidi"/>
      <w:b/>
      <w:bCs/>
      <w:i/>
      <w:iCs/>
      <w:szCs w:val="22"/>
      <w:lang w:val="en-IE"/>
    </w:rPr>
  </w:style>
  <w:style w:type="character" w:customStyle="1" w:styleId="IntenseQuoteChar">
    <w:name w:val="Intense Quote Char"/>
    <w:basedOn w:val="DefaultParagraphFont"/>
    <w:link w:val="IntenseQuote"/>
    <w:uiPriority w:val="30"/>
    <w:rsid w:val="00A41A5C"/>
    <w:rPr>
      <w:rFonts w:eastAsiaTheme="minorEastAsia" w:cstheme="minorBidi"/>
      <w:b/>
      <w:bCs/>
      <w:i/>
      <w:iCs/>
      <w:sz w:val="24"/>
      <w:szCs w:val="22"/>
      <w:lang w:eastAsia="en-US"/>
    </w:rPr>
  </w:style>
  <w:style w:type="character" w:styleId="SubtleEmphasis">
    <w:name w:val="Subtle Emphasis"/>
    <w:uiPriority w:val="19"/>
    <w:qFormat/>
    <w:rsid w:val="00A41A5C"/>
    <w:rPr>
      <w:i/>
      <w:iCs/>
    </w:rPr>
  </w:style>
  <w:style w:type="character" w:styleId="IntenseEmphasis">
    <w:name w:val="Intense Emphasis"/>
    <w:uiPriority w:val="21"/>
    <w:qFormat/>
    <w:rsid w:val="00A41A5C"/>
    <w:rPr>
      <w:b/>
      <w:bCs/>
    </w:rPr>
  </w:style>
  <w:style w:type="character" w:styleId="SubtleReference">
    <w:name w:val="Subtle Reference"/>
    <w:uiPriority w:val="31"/>
    <w:qFormat/>
    <w:rsid w:val="00A41A5C"/>
    <w:rPr>
      <w:smallCaps/>
    </w:rPr>
  </w:style>
  <w:style w:type="character" w:styleId="IntenseReference">
    <w:name w:val="Intense Reference"/>
    <w:uiPriority w:val="32"/>
    <w:qFormat/>
    <w:rsid w:val="00A41A5C"/>
    <w:rPr>
      <w:smallCaps/>
      <w:spacing w:val="5"/>
      <w:u w:val="single"/>
    </w:rPr>
  </w:style>
  <w:style w:type="character" w:styleId="BookTitle">
    <w:name w:val="Book Title"/>
    <w:uiPriority w:val="33"/>
    <w:qFormat/>
    <w:rsid w:val="00A41A5C"/>
    <w:rPr>
      <w:i/>
      <w:iCs/>
      <w:smallCaps/>
      <w:spacing w:val="5"/>
    </w:rPr>
  </w:style>
  <w:style w:type="paragraph" w:styleId="TOCHeading">
    <w:name w:val="TOC Heading"/>
    <w:basedOn w:val="Heading1"/>
    <w:next w:val="Normal"/>
    <w:uiPriority w:val="39"/>
    <w:unhideWhenUsed/>
    <w:qFormat/>
    <w:rsid w:val="00A41A5C"/>
    <w:pPr>
      <w:keepNext w:val="0"/>
      <w:numPr>
        <w:numId w:val="0"/>
      </w:numPr>
      <w:spacing w:before="480" w:after="0" w:line="276" w:lineRule="auto"/>
      <w:contextualSpacing/>
      <w:outlineLvl w:val="9"/>
    </w:pPr>
    <w:rPr>
      <w:rFonts w:asciiTheme="majorHAnsi" w:eastAsiaTheme="majorEastAsia" w:hAnsiTheme="majorHAnsi" w:cstheme="majorBidi"/>
      <w:caps w:val="0"/>
      <w:color w:val="C0504D" w:themeColor="accent2"/>
      <w:kern w:val="0"/>
      <w:sz w:val="28"/>
      <w:szCs w:val="28"/>
      <w:lang w:val="en-IE" w:bidi="en-US"/>
    </w:rPr>
  </w:style>
  <w:style w:type="character" w:customStyle="1" w:styleId="NoSpacingChar">
    <w:name w:val="No Spacing Char"/>
    <w:basedOn w:val="DefaultParagraphFont"/>
    <w:link w:val="NoSpacing"/>
    <w:uiPriority w:val="1"/>
    <w:rsid w:val="00A41A5C"/>
    <w:rPr>
      <w:rFonts w:eastAsiaTheme="minorEastAsia" w:cstheme="minorBidi"/>
      <w:sz w:val="24"/>
      <w:szCs w:val="22"/>
      <w:lang w:eastAsia="en-US"/>
    </w:rPr>
  </w:style>
  <w:style w:type="paragraph" w:customStyle="1" w:styleId="Caption1">
    <w:name w:val="Caption1"/>
    <w:basedOn w:val="Caption"/>
    <w:link w:val="captionChar"/>
    <w:qFormat/>
    <w:rsid w:val="00A41A5C"/>
    <w:pPr>
      <w:spacing w:after="200"/>
    </w:pPr>
    <w:rPr>
      <w:rFonts w:eastAsiaTheme="minorEastAsia" w:cstheme="minorBidi"/>
      <w:szCs w:val="18"/>
      <w:lang w:val="en-US"/>
    </w:rPr>
  </w:style>
  <w:style w:type="paragraph" w:customStyle="1" w:styleId="Emphasis1">
    <w:name w:val="Emphasis1"/>
    <w:basedOn w:val="Normal"/>
    <w:link w:val="emphasisChar"/>
    <w:rsid w:val="00A41A5C"/>
    <w:pPr>
      <w:spacing w:after="200" w:line="276" w:lineRule="auto"/>
    </w:pPr>
    <w:rPr>
      <w:rFonts w:eastAsiaTheme="minorEastAsia" w:cstheme="minorBidi"/>
      <w:i/>
      <w:szCs w:val="22"/>
      <w:lang w:val="en-US"/>
    </w:rPr>
  </w:style>
  <w:style w:type="character" w:customStyle="1" w:styleId="captionChar">
    <w:name w:val="caption Char"/>
    <w:basedOn w:val="DefaultParagraphFont"/>
    <w:link w:val="Caption1"/>
    <w:rsid w:val="00A41A5C"/>
    <w:rPr>
      <w:rFonts w:eastAsiaTheme="minorEastAsia" w:cstheme="minorBidi"/>
      <w:b/>
      <w:bCs/>
      <w:szCs w:val="18"/>
      <w:lang w:val="en-US" w:eastAsia="en-US"/>
    </w:rPr>
  </w:style>
  <w:style w:type="character" w:customStyle="1" w:styleId="emphasisChar">
    <w:name w:val="emphasis Char"/>
    <w:basedOn w:val="DefaultParagraphFont"/>
    <w:link w:val="Emphasis1"/>
    <w:rsid w:val="00A41A5C"/>
    <w:rPr>
      <w:rFonts w:eastAsiaTheme="minorEastAsia" w:cstheme="minorBidi"/>
      <w:i/>
      <w:sz w:val="24"/>
      <w:szCs w:val="22"/>
      <w:lang w:val="en-US" w:eastAsia="en-US"/>
    </w:rPr>
  </w:style>
  <w:style w:type="paragraph" w:customStyle="1" w:styleId="Tables">
    <w:name w:val="Tables"/>
    <w:basedOn w:val="Normal"/>
    <w:link w:val="TablesChar"/>
    <w:qFormat/>
    <w:rsid w:val="000E1D85"/>
    <w:pPr>
      <w:autoSpaceDE w:val="0"/>
      <w:autoSpaceDN w:val="0"/>
      <w:adjustRightInd w:val="0"/>
      <w:jc w:val="center"/>
    </w:pPr>
    <w:rPr>
      <w:rFonts w:ascii="Arial" w:eastAsiaTheme="minorEastAsia" w:hAnsi="Arial"/>
      <w:sz w:val="16"/>
    </w:rPr>
  </w:style>
  <w:style w:type="character" w:customStyle="1" w:styleId="TablesChar">
    <w:name w:val="Tables Char"/>
    <w:basedOn w:val="DefaultParagraphFont"/>
    <w:link w:val="Tables"/>
    <w:rsid w:val="000E1D85"/>
    <w:rPr>
      <w:rFonts w:ascii="Arial" w:eastAsiaTheme="minorEastAsia" w:hAnsi="Arial"/>
      <w:sz w:val="16"/>
      <w:szCs w:val="24"/>
      <w:lang w:val="en-GB" w:eastAsia="en-US"/>
    </w:rPr>
  </w:style>
  <w:style w:type="paragraph" w:customStyle="1" w:styleId="Default">
    <w:name w:val="Default"/>
    <w:rsid w:val="004E3641"/>
    <w:pPr>
      <w:autoSpaceDE w:val="0"/>
      <w:autoSpaceDN w:val="0"/>
      <w:adjustRightInd w:val="0"/>
    </w:pPr>
    <w:rPr>
      <w:color w:val="000000"/>
      <w:sz w:val="24"/>
      <w:szCs w:val="24"/>
    </w:rPr>
  </w:style>
  <w:style w:type="table" w:styleId="LightList-Accent1">
    <w:name w:val="Light List Accent 1"/>
    <w:basedOn w:val="TableNormal"/>
    <w:uiPriority w:val="61"/>
    <w:rsid w:val="000F04DF"/>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eSimple3">
    <w:name w:val="Table Simple 3"/>
    <w:basedOn w:val="TableNormal"/>
    <w:rsid w:val="00033924"/>
    <w:pPr>
      <w:spacing w:line="360" w:lineRule="auto"/>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Header">
    <w:name w:val="header"/>
    <w:basedOn w:val="Normal"/>
    <w:link w:val="HeaderChar"/>
    <w:uiPriority w:val="99"/>
    <w:rsid w:val="0088584D"/>
    <w:pPr>
      <w:tabs>
        <w:tab w:val="center" w:pos="4513"/>
        <w:tab w:val="right" w:pos="9026"/>
      </w:tabs>
      <w:spacing w:line="240" w:lineRule="auto"/>
    </w:pPr>
  </w:style>
  <w:style w:type="character" w:customStyle="1" w:styleId="HeaderChar">
    <w:name w:val="Header Char"/>
    <w:basedOn w:val="DefaultParagraphFont"/>
    <w:link w:val="Header"/>
    <w:uiPriority w:val="99"/>
    <w:rsid w:val="0088584D"/>
    <w:rPr>
      <w:sz w:val="24"/>
      <w:szCs w:val="24"/>
      <w:lang w:val="en-GB" w:eastAsia="en-US"/>
    </w:rPr>
  </w:style>
  <w:style w:type="paragraph" w:styleId="CommentText">
    <w:name w:val="annotation text"/>
    <w:basedOn w:val="Normal"/>
    <w:link w:val="CommentTextChar"/>
    <w:unhideWhenUsed/>
    <w:rsid w:val="00B717E3"/>
    <w:pPr>
      <w:spacing w:line="240" w:lineRule="auto"/>
    </w:pPr>
    <w:rPr>
      <w:sz w:val="20"/>
      <w:szCs w:val="20"/>
    </w:rPr>
  </w:style>
  <w:style w:type="character" w:customStyle="1" w:styleId="CommentTextChar">
    <w:name w:val="Comment Text Char"/>
    <w:basedOn w:val="DefaultParagraphFont"/>
    <w:link w:val="CommentText"/>
    <w:rsid w:val="00B717E3"/>
    <w:rPr>
      <w:lang w:val="en-GB" w:eastAsia="en-US"/>
    </w:rPr>
  </w:style>
  <w:style w:type="character" w:styleId="CommentReference">
    <w:name w:val="annotation reference"/>
    <w:basedOn w:val="DefaultParagraphFont"/>
    <w:unhideWhenUsed/>
    <w:rsid w:val="00B717E3"/>
    <w:rPr>
      <w:sz w:val="16"/>
      <w:szCs w:val="16"/>
    </w:rPr>
  </w:style>
  <w:style w:type="paragraph" w:customStyle="1" w:styleId="EndNoteBibliographyTitle">
    <w:name w:val="EndNote Bibliography Title"/>
    <w:basedOn w:val="Normal"/>
    <w:link w:val="EndNoteBibliographyTitleChar"/>
    <w:rsid w:val="006525A4"/>
    <w:pPr>
      <w:jc w:val="center"/>
    </w:pPr>
    <w:rPr>
      <w:noProof/>
      <w:sz w:val="24"/>
      <w:lang w:val="en-US"/>
    </w:rPr>
  </w:style>
  <w:style w:type="character" w:customStyle="1" w:styleId="EndNoteBibliographyTitleChar">
    <w:name w:val="EndNote Bibliography Title Char"/>
    <w:basedOn w:val="DefaultParagraphFont"/>
    <w:link w:val="EndNoteBibliographyTitle"/>
    <w:rsid w:val="006525A4"/>
    <w:rPr>
      <w:noProof/>
      <w:sz w:val="24"/>
      <w:szCs w:val="24"/>
      <w:lang w:val="en-US" w:eastAsia="en-US"/>
    </w:rPr>
  </w:style>
  <w:style w:type="paragraph" w:customStyle="1" w:styleId="EndNoteBibliography">
    <w:name w:val="EndNote Bibliography"/>
    <w:basedOn w:val="Normal"/>
    <w:link w:val="EndNoteBibliographyChar"/>
    <w:rsid w:val="006525A4"/>
    <w:pPr>
      <w:spacing w:line="240" w:lineRule="auto"/>
    </w:pPr>
    <w:rPr>
      <w:noProof/>
      <w:sz w:val="24"/>
      <w:lang w:val="en-US"/>
    </w:rPr>
  </w:style>
  <w:style w:type="character" w:customStyle="1" w:styleId="EndNoteBibliographyChar">
    <w:name w:val="EndNote Bibliography Char"/>
    <w:basedOn w:val="DefaultParagraphFont"/>
    <w:link w:val="EndNoteBibliography"/>
    <w:rsid w:val="006525A4"/>
    <w:rPr>
      <w:noProof/>
      <w:sz w:val="24"/>
      <w:szCs w:val="24"/>
      <w:lang w:val="en-US" w:eastAsia="en-US"/>
    </w:rPr>
  </w:style>
  <w:style w:type="character" w:customStyle="1" w:styleId="apple-converted-space">
    <w:name w:val="apple-converted-space"/>
    <w:basedOn w:val="DefaultParagraphFont"/>
    <w:rsid w:val="00087C32"/>
  </w:style>
  <w:style w:type="paragraph" w:styleId="CommentSubject">
    <w:name w:val="annotation subject"/>
    <w:basedOn w:val="CommentText"/>
    <w:next w:val="CommentText"/>
    <w:link w:val="CommentSubjectChar"/>
    <w:rsid w:val="00267675"/>
    <w:rPr>
      <w:b/>
      <w:bCs/>
    </w:rPr>
  </w:style>
  <w:style w:type="character" w:customStyle="1" w:styleId="CommentSubjectChar">
    <w:name w:val="Comment Subject Char"/>
    <w:basedOn w:val="CommentTextChar"/>
    <w:link w:val="CommentSubject"/>
    <w:rsid w:val="00267675"/>
    <w:rPr>
      <w:b/>
      <w:bCs/>
      <w:lang w:val="en-GB" w:eastAsia="en-US"/>
    </w:rPr>
  </w:style>
  <w:style w:type="character" w:styleId="LineNumber">
    <w:name w:val="line number"/>
    <w:basedOn w:val="DefaultParagraphFont"/>
    <w:semiHidden/>
    <w:unhideWhenUsed/>
    <w:rsid w:val="003770A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IE" w:eastAsia="en-IE"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header" w:uiPriority="99"/>
    <w:lsdException w:name="caption" w:uiPriority="35" w:qFormat="1"/>
    <w:lsdException w:name="table of figures"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6CB7"/>
    <w:pPr>
      <w:spacing w:line="360" w:lineRule="auto"/>
      <w:jc w:val="both"/>
    </w:pPr>
    <w:rPr>
      <w:sz w:val="22"/>
      <w:szCs w:val="24"/>
      <w:lang w:val="en-GB" w:eastAsia="en-US"/>
    </w:rPr>
  </w:style>
  <w:style w:type="paragraph" w:styleId="Heading1">
    <w:name w:val="heading 1"/>
    <w:basedOn w:val="Normal"/>
    <w:next w:val="Normal"/>
    <w:link w:val="Heading1Char"/>
    <w:uiPriority w:val="9"/>
    <w:qFormat/>
    <w:rsid w:val="00A41A5C"/>
    <w:pPr>
      <w:keepNext/>
      <w:numPr>
        <w:numId w:val="1"/>
      </w:numPr>
      <w:spacing w:before="240" w:after="60"/>
      <w:outlineLvl w:val="0"/>
    </w:pPr>
    <w:rPr>
      <w:rFonts w:cs="Arial"/>
      <w:b/>
      <w:bCs/>
      <w:caps/>
      <w:kern w:val="32"/>
      <w:szCs w:val="32"/>
    </w:rPr>
  </w:style>
  <w:style w:type="paragraph" w:styleId="Heading2">
    <w:name w:val="heading 2"/>
    <w:basedOn w:val="Normal"/>
    <w:next w:val="Normal"/>
    <w:link w:val="Heading2Char"/>
    <w:uiPriority w:val="9"/>
    <w:qFormat/>
    <w:rsid w:val="00C25ABC"/>
    <w:pPr>
      <w:keepNext/>
      <w:numPr>
        <w:ilvl w:val="1"/>
        <w:numId w:val="1"/>
      </w:numPr>
      <w:tabs>
        <w:tab w:val="clear" w:pos="9507"/>
        <w:tab w:val="num" w:pos="576"/>
      </w:tabs>
      <w:spacing w:before="240" w:after="60"/>
      <w:ind w:left="576"/>
      <w:outlineLvl w:val="1"/>
    </w:pPr>
    <w:rPr>
      <w:rFonts w:cs="Arial"/>
      <w:b/>
      <w:bCs/>
      <w:iCs/>
      <w:szCs w:val="28"/>
    </w:rPr>
  </w:style>
  <w:style w:type="paragraph" w:styleId="Heading3">
    <w:name w:val="heading 3"/>
    <w:basedOn w:val="Normal"/>
    <w:next w:val="Normal"/>
    <w:link w:val="Heading3Char"/>
    <w:uiPriority w:val="9"/>
    <w:qFormat/>
    <w:rsid w:val="00C25ABC"/>
    <w:pPr>
      <w:keepNext/>
      <w:numPr>
        <w:ilvl w:val="2"/>
        <w:numId w:val="1"/>
      </w:numPr>
      <w:spacing w:before="240" w:after="60"/>
      <w:outlineLvl w:val="2"/>
    </w:pPr>
    <w:rPr>
      <w:rFonts w:cs="Arial"/>
      <w:b/>
      <w:bCs/>
      <w:szCs w:val="26"/>
    </w:rPr>
  </w:style>
  <w:style w:type="paragraph" w:styleId="Heading4">
    <w:name w:val="heading 4"/>
    <w:basedOn w:val="Normal"/>
    <w:next w:val="Normal"/>
    <w:link w:val="Heading4Char"/>
    <w:uiPriority w:val="9"/>
    <w:qFormat/>
    <w:rsid w:val="00F93938"/>
    <w:pPr>
      <w:keepNext/>
      <w:numPr>
        <w:ilvl w:val="3"/>
        <w:numId w:val="1"/>
      </w:numPr>
      <w:spacing w:before="240" w:after="60"/>
      <w:ind w:left="862" w:hanging="862"/>
      <w:outlineLvl w:val="3"/>
    </w:pPr>
    <w:rPr>
      <w:b/>
      <w:bCs/>
      <w:szCs w:val="28"/>
    </w:rPr>
  </w:style>
  <w:style w:type="paragraph" w:styleId="Heading5">
    <w:name w:val="heading 5"/>
    <w:basedOn w:val="Normal"/>
    <w:next w:val="Normal"/>
    <w:link w:val="Heading5Char"/>
    <w:uiPriority w:val="9"/>
    <w:qFormat/>
    <w:rsid w:val="00BA1719"/>
    <w:pPr>
      <w:numPr>
        <w:ilvl w:val="4"/>
        <w:numId w:val="1"/>
      </w:numPr>
      <w:spacing w:before="240" w:after="60"/>
      <w:outlineLvl w:val="4"/>
    </w:pPr>
    <w:rPr>
      <w:b/>
      <w:bCs/>
      <w:i/>
      <w:iCs/>
      <w:sz w:val="26"/>
      <w:szCs w:val="26"/>
    </w:rPr>
  </w:style>
  <w:style w:type="paragraph" w:styleId="Heading6">
    <w:name w:val="heading 6"/>
    <w:basedOn w:val="Normal"/>
    <w:next w:val="Normal"/>
    <w:link w:val="Heading6Char"/>
    <w:uiPriority w:val="9"/>
    <w:qFormat/>
    <w:rsid w:val="00BA1719"/>
    <w:pPr>
      <w:numPr>
        <w:ilvl w:val="5"/>
        <w:numId w:val="1"/>
      </w:numPr>
      <w:spacing w:before="240" w:after="60"/>
      <w:outlineLvl w:val="5"/>
    </w:pPr>
    <w:rPr>
      <w:b/>
      <w:bCs/>
      <w:szCs w:val="22"/>
    </w:rPr>
  </w:style>
  <w:style w:type="paragraph" w:styleId="Heading7">
    <w:name w:val="heading 7"/>
    <w:basedOn w:val="Normal"/>
    <w:next w:val="Normal"/>
    <w:link w:val="Heading7Char"/>
    <w:uiPriority w:val="9"/>
    <w:qFormat/>
    <w:rsid w:val="00BA1719"/>
    <w:pPr>
      <w:numPr>
        <w:ilvl w:val="6"/>
        <w:numId w:val="1"/>
      </w:numPr>
      <w:spacing w:before="240" w:after="60"/>
      <w:outlineLvl w:val="6"/>
    </w:pPr>
  </w:style>
  <w:style w:type="paragraph" w:styleId="Heading8">
    <w:name w:val="heading 8"/>
    <w:basedOn w:val="Normal"/>
    <w:next w:val="Normal"/>
    <w:link w:val="Heading8Char"/>
    <w:uiPriority w:val="9"/>
    <w:qFormat/>
    <w:rsid w:val="00BA1719"/>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BA1719"/>
    <w:pPr>
      <w:numPr>
        <w:ilvl w:val="8"/>
        <w:numId w:val="1"/>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531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8C08AA"/>
    <w:rPr>
      <w:rFonts w:ascii="Tahoma" w:hAnsi="Tahoma" w:cs="Tahoma"/>
      <w:sz w:val="16"/>
      <w:szCs w:val="16"/>
    </w:rPr>
  </w:style>
  <w:style w:type="paragraph" w:styleId="TOC1">
    <w:name w:val="toc 1"/>
    <w:basedOn w:val="Normal"/>
    <w:next w:val="Normal"/>
    <w:autoRedefine/>
    <w:uiPriority w:val="39"/>
    <w:rsid w:val="003E47A1"/>
    <w:pPr>
      <w:tabs>
        <w:tab w:val="left" w:pos="480"/>
        <w:tab w:val="right" w:leader="dot" w:pos="8630"/>
      </w:tabs>
    </w:pPr>
  </w:style>
  <w:style w:type="paragraph" w:styleId="TOC2">
    <w:name w:val="toc 2"/>
    <w:basedOn w:val="Normal"/>
    <w:next w:val="Normal"/>
    <w:autoRedefine/>
    <w:uiPriority w:val="39"/>
    <w:rsid w:val="003B1D73"/>
    <w:pPr>
      <w:ind w:left="240"/>
    </w:pPr>
  </w:style>
  <w:style w:type="character" w:styleId="Hyperlink">
    <w:name w:val="Hyperlink"/>
    <w:uiPriority w:val="99"/>
    <w:rsid w:val="003B1D73"/>
    <w:rPr>
      <w:color w:val="0000FF"/>
      <w:u w:val="single"/>
    </w:rPr>
  </w:style>
  <w:style w:type="paragraph" w:styleId="Caption">
    <w:name w:val="caption"/>
    <w:basedOn w:val="Normal"/>
    <w:next w:val="Normal"/>
    <w:uiPriority w:val="35"/>
    <w:qFormat/>
    <w:rsid w:val="00E90081"/>
    <w:pPr>
      <w:jc w:val="center"/>
    </w:pPr>
    <w:rPr>
      <w:b/>
      <w:bCs/>
      <w:sz w:val="20"/>
      <w:szCs w:val="20"/>
    </w:rPr>
  </w:style>
  <w:style w:type="paragraph" w:styleId="TableofFigures">
    <w:name w:val="table of figures"/>
    <w:basedOn w:val="Normal"/>
    <w:next w:val="Normal"/>
    <w:uiPriority w:val="99"/>
    <w:rsid w:val="00096D61"/>
  </w:style>
  <w:style w:type="paragraph" w:customStyle="1" w:styleId="StyleCaptionCentered">
    <w:name w:val="Style Caption + Centered"/>
    <w:basedOn w:val="Caption"/>
    <w:rsid w:val="00F116F3"/>
  </w:style>
  <w:style w:type="character" w:customStyle="1" w:styleId="Heading3Char">
    <w:name w:val="Heading 3 Char"/>
    <w:link w:val="Heading3"/>
    <w:uiPriority w:val="9"/>
    <w:rsid w:val="00C25ABC"/>
    <w:rPr>
      <w:rFonts w:cs="Arial"/>
      <w:b/>
      <w:bCs/>
      <w:sz w:val="24"/>
      <w:szCs w:val="26"/>
      <w:lang w:val="en-GB" w:eastAsia="en-US"/>
    </w:rPr>
  </w:style>
  <w:style w:type="paragraph" w:styleId="TOC3">
    <w:name w:val="toc 3"/>
    <w:basedOn w:val="Normal"/>
    <w:next w:val="Normal"/>
    <w:autoRedefine/>
    <w:uiPriority w:val="39"/>
    <w:rsid w:val="00AC180E"/>
    <w:pPr>
      <w:ind w:left="480"/>
    </w:pPr>
  </w:style>
  <w:style w:type="character" w:styleId="Emphasis">
    <w:name w:val="Emphasis"/>
    <w:uiPriority w:val="20"/>
    <w:qFormat/>
    <w:rsid w:val="006C6B40"/>
    <w:rPr>
      <w:i/>
      <w:iCs/>
    </w:rPr>
  </w:style>
  <w:style w:type="character" w:customStyle="1" w:styleId="text">
    <w:name w:val="text"/>
    <w:basedOn w:val="DefaultParagraphFont"/>
    <w:rsid w:val="007C4F66"/>
  </w:style>
  <w:style w:type="paragraph" w:styleId="Footer">
    <w:name w:val="footer"/>
    <w:basedOn w:val="Normal"/>
    <w:rsid w:val="00407EFE"/>
    <w:pPr>
      <w:tabs>
        <w:tab w:val="center" w:pos="4153"/>
        <w:tab w:val="right" w:pos="8306"/>
      </w:tabs>
    </w:pPr>
  </w:style>
  <w:style w:type="character" w:styleId="PageNumber">
    <w:name w:val="page number"/>
    <w:basedOn w:val="DefaultParagraphFont"/>
    <w:rsid w:val="00407EFE"/>
  </w:style>
  <w:style w:type="character" w:styleId="FollowedHyperlink">
    <w:name w:val="FollowedHyperlink"/>
    <w:rsid w:val="00453673"/>
    <w:rPr>
      <w:color w:val="800080"/>
      <w:u w:val="single"/>
    </w:rPr>
  </w:style>
  <w:style w:type="paragraph" w:customStyle="1" w:styleId="StyleHeading3JustifiedLinespacingsingle">
    <w:name w:val="Style Heading 3 + Justified Line spacing:  single"/>
    <w:basedOn w:val="Heading3"/>
    <w:rsid w:val="003E47A1"/>
    <w:rPr>
      <w:rFonts w:cs="Times New Roman"/>
      <w:szCs w:val="20"/>
    </w:rPr>
  </w:style>
  <w:style w:type="paragraph" w:customStyle="1" w:styleId="Style1">
    <w:name w:val="Style1"/>
    <w:basedOn w:val="Heading1"/>
    <w:link w:val="Style1Char"/>
    <w:rsid w:val="004104D7"/>
  </w:style>
  <w:style w:type="character" w:customStyle="1" w:styleId="Heading1Char">
    <w:name w:val="Heading 1 Char"/>
    <w:basedOn w:val="DefaultParagraphFont"/>
    <w:link w:val="Heading1"/>
    <w:uiPriority w:val="9"/>
    <w:rsid w:val="00A41A5C"/>
    <w:rPr>
      <w:rFonts w:cs="Arial"/>
      <w:b/>
      <w:bCs/>
      <w:caps/>
      <w:kern w:val="32"/>
      <w:sz w:val="24"/>
      <w:szCs w:val="32"/>
      <w:lang w:val="en-GB" w:eastAsia="en-US"/>
    </w:rPr>
  </w:style>
  <w:style w:type="character" w:customStyle="1" w:styleId="Style1Char">
    <w:name w:val="Style1 Char"/>
    <w:basedOn w:val="Heading1Char"/>
    <w:link w:val="Style1"/>
    <w:rsid w:val="004104D7"/>
    <w:rPr>
      <w:rFonts w:cs="Arial"/>
      <w:b/>
      <w:bCs/>
      <w:caps/>
      <w:kern w:val="32"/>
      <w:sz w:val="24"/>
      <w:szCs w:val="32"/>
      <w:lang w:val="en-GB" w:eastAsia="en-US"/>
    </w:rPr>
  </w:style>
  <w:style w:type="numbering" w:customStyle="1" w:styleId="NoList1">
    <w:name w:val="No List1"/>
    <w:next w:val="NoList"/>
    <w:uiPriority w:val="99"/>
    <w:semiHidden/>
    <w:unhideWhenUsed/>
    <w:rsid w:val="00A41A5C"/>
  </w:style>
  <w:style w:type="paragraph" w:styleId="EndnoteText">
    <w:name w:val="endnote text"/>
    <w:basedOn w:val="Normal"/>
    <w:link w:val="EndnoteTextChar"/>
    <w:uiPriority w:val="99"/>
    <w:unhideWhenUsed/>
    <w:rsid w:val="00A41A5C"/>
    <w:rPr>
      <w:rFonts w:eastAsiaTheme="minorEastAsia" w:cstheme="minorBidi"/>
      <w:sz w:val="20"/>
      <w:szCs w:val="20"/>
      <w:lang w:val="en-IE"/>
    </w:rPr>
  </w:style>
  <w:style w:type="character" w:customStyle="1" w:styleId="EndnoteTextChar">
    <w:name w:val="Endnote Text Char"/>
    <w:basedOn w:val="DefaultParagraphFont"/>
    <w:link w:val="EndnoteText"/>
    <w:uiPriority w:val="99"/>
    <w:rsid w:val="00A41A5C"/>
    <w:rPr>
      <w:rFonts w:eastAsiaTheme="minorEastAsia" w:cstheme="minorBidi"/>
      <w:lang w:eastAsia="en-US"/>
    </w:rPr>
  </w:style>
  <w:style w:type="character" w:styleId="EndnoteReference">
    <w:name w:val="endnote reference"/>
    <w:basedOn w:val="DefaultParagraphFont"/>
    <w:uiPriority w:val="99"/>
    <w:unhideWhenUsed/>
    <w:rsid w:val="00A41A5C"/>
    <w:rPr>
      <w:vertAlign w:val="superscript"/>
    </w:rPr>
  </w:style>
  <w:style w:type="table" w:customStyle="1" w:styleId="TableGrid1">
    <w:name w:val="Table Grid1"/>
    <w:basedOn w:val="TableNormal"/>
    <w:next w:val="TableGrid"/>
    <w:uiPriority w:val="59"/>
    <w:rsid w:val="00A41A5C"/>
    <w:rPr>
      <w:rFonts w:asciiTheme="minorHAnsi" w:eastAsiaTheme="minorEastAsia"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41A5C"/>
    <w:pPr>
      <w:spacing w:after="200" w:line="276" w:lineRule="auto"/>
      <w:ind w:left="720"/>
      <w:contextualSpacing/>
    </w:pPr>
    <w:rPr>
      <w:rFonts w:eastAsiaTheme="minorEastAsia" w:cstheme="minorBidi"/>
      <w:szCs w:val="22"/>
      <w:lang w:val="en-IE"/>
    </w:rPr>
  </w:style>
  <w:style w:type="table" w:styleId="LightShading">
    <w:name w:val="Light Shading"/>
    <w:basedOn w:val="TableNormal"/>
    <w:uiPriority w:val="60"/>
    <w:rsid w:val="00A41A5C"/>
    <w:rPr>
      <w:rFonts w:asciiTheme="minorHAnsi" w:eastAsiaTheme="minorEastAsia"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
    <w:name w:val="Light List"/>
    <w:basedOn w:val="TableNormal"/>
    <w:uiPriority w:val="61"/>
    <w:rsid w:val="00A41A5C"/>
    <w:rPr>
      <w:rFonts w:asciiTheme="minorHAnsi" w:eastAsiaTheme="minorEastAsia"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1">
    <w:name w:val="Light Shading Accent 1"/>
    <w:basedOn w:val="TableNormal"/>
    <w:uiPriority w:val="60"/>
    <w:rsid w:val="00A41A5C"/>
    <w:rPr>
      <w:rFonts w:asciiTheme="minorHAnsi" w:eastAsiaTheme="minorEastAsia" w:hAnsiTheme="minorHAnsi" w:cstheme="minorBidi"/>
      <w:color w:val="365F91" w:themeColor="accent1" w:themeShade="BF"/>
      <w:sz w:val="22"/>
      <w:szCs w:val="22"/>
      <w:lang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3">
    <w:name w:val="Light Shading Accent 3"/>
    <w:basedOn w:val="TableNormal"/>
    <w:uiPriority w:val="60"/>
    <w:rsid w:val="00A41A5C"/>
    <w:rPr>
      <w:rFonts w:asciiTheme="minorHAnsi" w:eastAsiaTheme="minorEastAsia" w:hAnsiTheme="minorHAnsi" w:cstheme="minorBidi"/>
      <w:color w:val="76923C" w:themeColor="accent3" w:themeShade="BF"/>
      <w:sz w:val="22"/>
      <w:szCs w:val="22"/>
      <w:lang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customStyle="1" w:styleId="BalloonTextChar">
    <w:name w:val="Balloon Text Char"/>
    <w:basedOn w:val="DefaultParagraphFont"/>
    <w:link w:val="BalloonText"/>
    <w:uiPriority w:val="99"/>
    <w:semiHidden/>
    <w:rsid w:val="00A41A5C"/>
    <w:rPr>
      <w:rFonts w:ascii="Tahoma" w:hAnsi="Tahoma" w:cs="Tahoma"/>
      <w:sz w:val="16"/>
      <w:szCs w:val="16"/>
      <w:lang w:val="en-GB" w:eastAsia="en-US"/>
    </w:rPr>
  </w:style>
  <w:style w:type="character" w:styleId="PlaceholderText">
    <w:name w:val="Placeholder Text"/>
    <w:basedOn w:val="DefaultParagraphFont"/>
    <w:uiPriority w:val="99"/>
    <w:semiHidden/>
    <w:rsid w:val="00A41A5C"/>
    <w:rPr>
      <w:color w:val="808080"/>
    </w:rPr>
  </w:style>
  <w:style w:type="character" w:customStyle="1" w:styleId="Heading2Char">
    <w:name w:val="Heading 2 Char"/>
    <w:basedOn w:val="DefaultParagraphFont"/>
    <w:link w:val="Heading2"/>
    <w:uiPriority w:val="9"/>
    <w:rsid w:val="00A41A5C"/>
    <w:rPr>
      <w:rFonts w:cs="Arial"/>
      <w:b/>
      <w:bCs/>
      <w:iCs/>
      <w:sz w:val="24"/>
      <w:szCs w:val="28"/>
      <w:lang w:val="en-GB" w:eastAsia="en-US"/>
    </w:rPr>
  </w:style>
  <w:style w:type="character" w:customStyle="1" w:styleId="Heading4Char">
    <w:name w:val="Heading 4 Char"/>
    <w:basedOn w:val="DefaultParagraphFont"/>
    <w:link w:val="Heading4"/>
    <w:uiPriority w:val="9"/>
    <w:rsid w:val="00F93938"/>
    <w:rPr>
      <w:b/>
      <w:bCs/>
      <w:sz w:val="24"/>
      <w:szCs w:val="28"/>
      <w:lang w:val="en-GB" w:eastAsia="en-US"/>
    </w:rPr>
  </w:style>
  <w:style w:type="character" w:customStyle="1" w:styleId="Heading5Char">
    <w:name w:val="Heading 5 Char"/>
    <w:basedOn w:val="DefaultParagraphFont"/>
    <w:link w:val="Heading5"/>
    <w:uiPriority w:val="9"/>
    <w:rsid w:val="00A41A5C"/>
    <w:rPr>
      <w:b/>
      <w:bCs/>
      <w:i/>
      <w:iCs/>
      <w:sz w:val="26"/>
      <w:szCs w:val="26"/>
      <w:lang w:val="en-GB" w:eastAsia="en-US"/>
    </w:rPr>
  </w:style>
  <w:style w:type="character" w:customStyle="1" w:styleId="Heading6Char">
    <w:name w:val="Heading 6 Char"/>
    <w:basedOn w:val="DefaultParagraphFont"/>
    <w:link w:val="Heading6"/>
    <w:uiPriority w:val="9"/>
    <w:rsid w:val="00A41A5C"/>
    <w:rPr>
      <w:b/>
      <w:bCs/>
      <w:sz w:val="22"/>
      <w:szCs w:val="22"/>
      <w:lang w:val="en-GB" w:eastAsia="en-US"/>
    </w:rPr>
  </w:style>
  <w:style w:type="character" w:customStyle="1" w:styleId="Heading7Char">
    <w:name w:val="Heading 7 Char"/>
    <w:basedOn w:val="DefaultParagraphFont"/>
    <w:link w:val="Heading7"/>
    <w:uiPriority w:val="9"/>
    <w:rsid w:val="00A41A5C"/>
    <w:rPr>
      <w:sz w:val="24"/>
      <w:szCs w:val="24"/>
      <w:lang w:val="en-GB" w:eastAsia="en-US"/>
    </w:rPr>
  </w:style>
  <w:style w:type="character" w:customStyle="1" w:styleId="Heading8Char">
    <w:name w:val="Heading 8 Char"/>
    <w:basedOn w:val="DefaultParagraphFont"/>
    <w:link w:val="Heading8"/>
    <w:uiPriority w:val="9"/>
    <w:rsid w:val="00A41A5C"/>
    <w:rPr>
      <w:i/>
      <w:iCs/>
      <w:sz w:val="24"/>
      <w:szCs w:val="24"/>
      <w:lang w:val="en-GB" w:eastAsia="en-US"/>
    </w:rPr>
  </w:style>
  <w:style w:type="character" w:customStyle="1" w:styleId="Heading9Char">
    <w:name w:val="Heading 9 Char"/>
    <w:basedOn w:val="DefaultParagraphFont"/>
    <w:link w:val="Heading9"/>
    <w:uiPriority w:val="9"/>
    <w:rsid w:val="00A41A5C"/>
    <w:rPr>
      <w:rFonts w:ascii="Arial" w:hAnsi="Arial" w:cs="Arial"/>
      <w:sz w:val="22"/>
      <w:szCs w:val="22"/>
      <w:lang w:val="en-GB" w:eastAsia="en-US"/>
    </w:rPr>
  </w:style>
  <w:style w:type="paragraph" w:styleId="Title">
    <w:name w:val="Title"/>
    <w:basedOn w:val="Normal"/>
    <w:next w:val="Normal"/>
    <w:link w:val="TitleChar"/>
    <w:uiPriority w:val="10"/>
    <w:qFormat/>
    <w:rsid w:val="00A41A5C"/>
    <w:pPr>
      <w:pBdr>
        <w:bottom w:val="single" w:sz="4" w:space="1" w:color="auto"/>
      </w:pBdr>
      <w:spacing w:after="200"/>
      <w:contextualSpacing/>
    </w:pPr>
    <w:rPr>
      <w:rFonts w:asciiTheme="majorHAnsi" w:eastAsiaTheme="majorEastAsia" w:hAnsiTheme="majorHAnsi" w:cstheme="majorBidi"/>
      <w:spacing w:val="5"/>
      <w:sz w:val="52"/>
      <w:szCs w:val="52"/>
      <w:lang w:val="en-IE"/>
    </w:rPr>
  </w:style>
  <w:style w:type="character" w:customStyle="1" w:styleId="TitleChar">
    <w:name w:val="Title Char"/>
    <w:basedOn w:val="DefaultParagraphFont"/>
    <w:link w:val="Title"/>
    <w:uiPriority w:val="10"/>
    <w:rsid w:val="00A41A5C"/>
    <w:rPr>
      <w:rFonts w:asciiTheme="majorHAnsi" w:eastAsiaTheme="majorEastAsia" w:hAnsiTheme="majorHAnsi" w:cstheme="majorBidi"/>
      <w:spacing w:val="5"/>
      <w:sz w:val="52"/>
      <w:szCs w:val="52"/>
      <w:lang w:eastAsia="en-US"/>
    </w:rPr>
  </w:style>
  <w:style w:type="paragraph" w:styleId="Subtitle">
    <w:name w:val="Subtitle"/>
    <w:aliases w:val="Italic title,CAPS"/>
    <w:basedOn w:val="Normal"/>
    <w:next w:val="Normal"/>
    <w:link w:val="SubtitleChar"/>
    <w:uiPriority w:val="11"/>
    <w:qFormat/>
    <w:rsid w:val="000E1D85"/>
    <w:rPr>
      <w:rFonts w:eastAsiaTheme="minorEastAsia"/>
      <w:i/>
      <w:caps/>
      <w:lang w:val="en-US"/>
    </w:rPr>
  </w:style>
  <w:style w:type="character" w:customStyle="1" w:styleId="SubtitleChar">
    <w:name w:val="Subtitle Char"/>
    <w:aliases w:val="Italic title Char,CAPS Char"/>
    <w:basedOn w:val="DefaultParagraphFont"/>
    <w:link w:val="Subtitle"/>
    <w:uiPriority w:val="11"/>
    <w:rsid w:val="000E1D85"/>
    <w:rPr>
      <w:rFonts w:eastAsiaTheme="minorEastAsia"/>
      <w:i/>
      <w:caps/>
      <w:sz w:val="24"/>
      <w:szCs w:val="24"/>
      <w:lang w:val="en-US" w:eastAsia="en-US"/>
    </w:rPr>
  </w:style>
  <w:style w:type="character" w:styleId="Strong">
    <w:name w:val="Strong"/>
    <w:uiPriority w:val="22"/>
    <w:qFormat/>
    <w:rsid w:val="00A41A5C"/>
    <w:rPr>
      <w:b/>
      <w:bCs/>
    </w:rPr>
  </w:style>
  <w:style w:type="paragraph" w:styleId="NoSpacing">
    <w:name w:val="No Spacing"/>
    <w:basedOn w:val="Normal"/>
    <w:link w:val="NoSpacingChar"/>
    <w:uiPriority w:val="1"/>
    <w:qFormat/>
    <w:rsid w:val="00A41A5C"/>
    <w:rPr>
      <w:rFonts w:eastAsiaTheme="minorEastAsia" w:cstheme="minorBidi"/>
      <w:szCs w:val="22"/>
      <w:lang w:val="en-IE"/>
    </w:rPr>
  </w:style>
  <w:style w:type="paragraph" w:styleId="Quote">
    <w:name w:val="Quote"/>
    <w:basedOn w:val="Normal"/>
    <w:next w:val="Normal"/>
    <w:link w:val="QuoteChar"/>
    <w:uiPriority w:val="29"/>
    <w:qFormat/>
    <w:rsid w:val="00A41A5C"/>
    <w:pPr>
      <w:spacing w:before="200" w:line="276" w:lineRule="auto"/>
      <w:ind w:left="360" w:right="360"/>
    </w:pPr>
    <w:rPr>
      <w:rFonts w:eastAsiaTheme="minorEastAsia" w:cstheme="minorBidi"/>
      <w:i/>
      <w:iCs/>
      <w:szCs w:val="22"/>
      <w:lang w:val="en-IE"/>
    </w:rPr>
  </w:style>
  <w:style w:type="character" w:customStyle="1" w:styleId="QuoteChar">
    <w:name w:val="Quote Char"/>
    <w:basedOn w:val="DefaultParagraphFont"/>
    <w:link w:val="Quote"/>
    <w:uiPriority w:val="29"/>
    <w:rsid w:val="00A41A5C"/>
    <w:rPr>
      <w:rFonts w:eastAsiaTheme="minorEastAsia" w:cstheme="minorBidi"/>
      <w:i/>
      <w:iCs/>
      <w:sz w:val="24"/>
      <w:szCs w:val="22"/>
      <w:lang w:eastAsia="en-US"/>
    </w:rPr>
  </w:style>
  <w:style w:type="paragraph" w:styleId="IntenseQuote">
    <w:name w:val="Intense Quote"/>
    <w:basedOn w:val="Normal"/>
    <w:next w:val="Normal"/>
    <w:link w:val="IntenseQuoteChar"/>
    <w:uiPriority w:val="30"/>
    <w:qFormat/>
    <w:rsid w:val="00A41A5C"/>
    <w:pPr>
      <w:pBdr>
        <w:bottom w:val="single" w:sz="4" w:space="1" w:color="auto"/>
      </w:pBdr>
      <w:spacing w:before="200" w:after="280" w:line="276" w:lineRule="auto"/>
      <w:ind w:left="1008" w:right="1152"/>
    </w:pPr>
    <w:rPr>
      <w:rFonts w:eastAsiaTheme="minorEastAsia" w:cstheme="minorBidi"/>
      <w:b/>
      <w:bCs/>
      <w:i/>
      <w:iCs/>
      <w:szCs w:val="22"/>
      <w:lang w:val="en-IE"/>
    </w:rPr>
  </w:style>
  <w:style w:type="character" w:customStyle="1" w:styleId="IntenseQuoteChar">
    <w:name w:val="Intense Quote Char"/>
    <w:basedOn w:val="DefaultParagraphFont"/>
    <w:link w:val="IntenseQuote"/>
    <w:uiPriority w:val="30"/>
    <w:rsid w:val="00A41A5C"/>
    <w:rPr>
      <w:rFonts w:eastAsiaTheme="minorEastAsia" w:cstheme="minorBidi"/>
      <w:b/>
      <w:bCs/>
      <w:i/>
      <w:iCs/>
      <w:sz w:val="24"/>
      <w:szCs w:val="22"/>
      <w:lang w:eastAsia="en-US"/>
    </w:rPr>
  </w:style>
  <w:style w:type="character" w:styleId="SubtleEmphasis">
    <w:name w:val="Subtle Emphasis"/>
    <w:uiPriority w:val="19"/>
    <w:qFormat/>
    <w:rsid w:val="00A41A5C"/>
    <w:rPr>
      <w:i/>
      <w:iCs/>
    </w:rPr>
  </w:style>
  <w:style w:type="character" w:styleId="IntenseEmphasis">
    <w:name w:val="Intense Emphasis"/>
    <w:uiPriority w:val="21"/>
    <w:qFormat/>
    <w:rsid w:val="00A41A5C"/>
    <w:rPr>
      <w:b/>
      <w:bCs/>
    </w:rPr>
  </w:style>
  <w:style w:type="character" w:styleId="SubtleReference">
    <w:name w:val="Subtle Reference"/>
    <w:uiPriority w:val="31"/>
    <w:qFormat/>
    <w:rsid w:val="00A41A5C"/>
    <w:rPr>
      <w:smallCaps/>
    </w:rPr>
  </w:style>
  <w:style w:type="character" w:styleId="IntenseReference">
    <w:name w:val="Intense Reference"/>
    <w:uiPriority w:val="32"/>
    <w:qFormat/>
    <w:rsid w:val="00A41A5C"/>
    <w:rPr>
      <w:smallCaps/>
      <w:spacing w:val="5"/>
      <w:u w:val="single"/>
    </w:rPr>
  </w:style>
  <w:style w:type="character" w:styleId="BookTitle">
    <w:name w:val="Book Title"/>
    <w:uiPriority w:val="33"/>
    <w:qFormat/>
    <w:rsid w:val="00A41A5C"/>
    <w:rPr>
      <w:i/>
      <w:iCs/>
      <w:smallCaps/>
      <w:spacing w:val="5"/>
    </w:rPr>
  </w:style>
  <w:style w:type="paragraph" w:styleId="TOCHeading">
    <w:name w:val="TOC Heading"/>
    <w:basedOn w:val="Heading1"/>
    <w:next w:val="Normal"/>
    <w:uiPriority w:val="39"/>
    <w:unhideWhenUsed/>
    <w:qFormat/>
    <w:rsid w:val="00A41A5C"/>
    <w:pPr>
      <w:keepNext w:val="0"/>
      <w:numPr>
        <w:numId w:val="0"/>
      </w:numPr>
      <w:spacing w:before="480" w:after="0" w:line="276" w:lineRule="auto"/>
      <w:contextualSpacing/>
      <w:outlineLvl w:val="9"/>
    </w:pPr>
    <w:rPr>
      <w:rFonts w:asciiTheme="majorHAnsi" w:eastAsiaTheme="majorEastAsia" w:hAnsiTheme="majorHAnsi" w:cstheme="majorBidi"/>
      <w:caps w:val="0"/>
      <w:color w:val="C0504D" w:themeColor="accent2"/>
      <w:kern w:val="0"/>
      <w:sz w:val="28"/>
      <w:szCs w:val="28"/>
      <w:lang w:val="en-IE" w:bidi="en-US"/>
    </w:rPr>
  </w:style>
  <w:style w:type="character" w:customStyle="1" w:styleId="NoSpacingChar">
    <w:name w:val="No Spacing Char"/>
    <w:basedOn w:val="DefaultParagraphFont"/>
    <w:link w:val="NoSpacing"/>
    <w:uiPriority w:val="1"/>
    <w:rsid w:val="00A41A5C"/>
    <w:rPr>
      <w:rFonts w:eastAsiaTheme="minorEastAsia" w:cstheme="minorBidi"/>
      <w:sz w:val="24"/>
      <w:szCs w:val="22"/>
      <w:lang w:eastAsia="en-US"/>
    </w:rPr>
  </w:style>
  <w:style w:type="paragraph" w:customStyle="1" w:styleId="Caption1">
    <w:name w:val="Caption1"/>
    <w:basedOn w:val="Caption"/>
    <w:link w:val="captionChar"/>
    <w:qFormat/>
    <w:rsid w:val="00A41A5C"/>
    <w:pPr>
      <w:spacing w:after="200"/>
    </w:pPr>
    <w:rPr>
      <w:rFonts w:eastAsiaTheme="minorEastAsia" w:cstheme="minorBidi"/>
      <w:szCs w:val="18"/>
      <w:lang w:val="en-US"/>
    </w:rPr>
  </w:style>
  <w:style w:type="paragraph" w:customStyle="1" w:styleId="Emphasis1">
    <w:name w:val="Emphasis1"/>
    <w:basedOn w:val="Normal"/>
    <w:link w:val="emphasisChar"/>
    <w:rsid w:val="00A41A5C"/>
    <w:pPr>
      <w:spacing w:after="200" w:line="276" w:lineRule="auto"/>
    </w:pPr>
    <w:rPr>
      <w:rFonts w:eastAsiaTheme="minorEastAsia" w:cstheme="minorBidi"/>
      <w:i/>
      <w:szCs w:val="22"/>
      <w:lang w:val="en-US"/>
    </w:rPr>
  </w:style>
  <w:style w:type="character" w:customStyle="1" w:styleId="captionChar">
    <w:name w:val="caption Char"/>
    <w:basedOn w:val="DefaultParagraphFont"/>
    <w:link w:val="Caption1"/>
    <w:rsid w:val="00A41A5C"/>
    <w:rPr>
      <w:rFonts w:eastAsiaTheme="minorEastAsia" w:cstheme="minorBidi"/>
      <w:b/>
      <w:bCs/>
      <w:szCs w:val="18"/>
      <w:lang w:val="en-US" w:eastAsia="en-US"/>
    </w:rPr>
  </w:style>
  <w:style w:type="character" w:customStyle="1" w:styleId="emphasisChar">
    <w:name w:val="emphasis Char"/>
    <w:basedOn w:val="DefaultParagraphFont"/>
    <w:link w:val="Emphasis1"/>
    <w:rsid w:val="00A41A5C"/>
    <w:rPr>
      <w:rFonts w:eastAsiaTheme="minorEastAsia" w:cstheme="minorBidi"/>
      <w:i/>
      <w:sz w:val="24"/>
      <w:szCs w:val="22"/>
      <w:lang w:val="en-US" w:eastAsia="en-US"/>
    </w:rPr>
  </w:style>
  <w:style w:type="paragraph" w:customStyle="1" w:styleId="Tables">
    <w:name w:val="Tables"/>
    <w:basedOn w:val="Normal"/>
    <w:link w:val="TablesChar"/>
    <w:qFormat/>
    <w:rsid w:val="000E1D85"/>
    <w:pPr>
      <w:autoSpaceDE w:val="0"/>
      <w:autoSpaceDN w:val="0"/>
      <w:adjustRightInd w:val="0"/>
      <w:jc w:val="center"/>
    </w:pPr>
    <w:rPr>
      <w:rFonts w:ascii="Arial" w:eastAsiaTheme="minorEastAsia" w:hAnsi="Arial"/>
      <w:sz w:val="16"/>
    </w:rPr>
  </w:style>
  <w:style w:type="character" w:customStyle="1" w:styleId="TablesChar">
    <w:name w:val="Tables Char"/>
    <w:basedOn w:val="DefaultParagraphFont"/>
    <w:link w:val="Tables"/>
    <w:rsid w:val="000E1D85"/>
    <w:rPr>
      <w:rFonts w:ascii="Arial" w:eastAsiaTheme="minorEastAsia" w:hAnsi="Arial"/>
      <w:sz w:val="16"/>
      <w:szCs w:val="24"/>
      <w:lang w:val="en-GB" w:eastAsia="en-US"/>
    </w:rPr>
  </w:style>
  <w:style w:type="paragraph" w:customStyle="1" w:styleId="Default">
    <w:name w:val="Default"/>
    <w:rsid w:val="004E3641"/>
    <w:pPr>
      <w:autoSpaceDE w:val="0"/>
      <w:autoSpaceDN w:val="0"/>
      <w:adjustRightInd w:val="0"/>
    </w:pPr>
    <w:rPr>
      <w:color w:val="000000"/>
      <w:sz w:val="24"/>
      <w:szCs w:val="24"/>
    </w:rPr>
  </w:style>
  <w:style w:type="table" w:styleId="LightList-Accent1">
    <w:name w:val="Light List Accent 1"/>
    <w:basedOn w:val="TableNormal"/>
    <w:uiPriority w:val="61"/>
    <w:rsid w:val="000F04DF"/>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eSimple3">
    <w:name w:val="Table Simple 3"/>
    <w:basedOn w:val="TableNormal"/>
    <w:rsid w:val="00033924"/>
    <w:pPr>
      <w:spacing w:line="360" w:lineRule="auto"/>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Header">
    <w:name w:val="header"/>
    <w:basedOn w:val="Normal"/>
    <w:link w:val="HeaderChar"/>
    <w:uiPriority w:val="99"/>
    <w:rsid w:val="0088584D"/>
    <w:pPr>
      <w:tabs>
        <w:tab w:val="center" w:pos="4513"/>
        <w:tab w:val="right" w:pos="9026"/>
      </w:tabs>
      <w:spacing w:line="240" w:lineRule="auto"/>
    </w:pPr>
  </w:style>
  <w:style w:type="character" w:customStyle="1" w:styleId="HeaderChar">
    <w:name w:val="Header Char"/>
    <w:basedOn w:val="DefaultParagraphFont"/>
    <w:link w:val="Header"/>
    <w:uiPriority w:val="99"/>
    <w:rsid w:val="0088584D"/>
    <w:rPr>
      <w:sz w:val="24"/>
      <w:szCs w:val="24"/>
      <w:lang w:val="en-GB" w:eastAsia="en-US"/>
    </w:rPr>
  </w:style>
  <w:style w:type="paragraph" w:styleId="CommentText">
    <w:name w:val="annotation text"/>
    <w:basedOn w:val="Normal"/>
    <w:link w:val="CommentTextChar"/>
    <w:unhideWhenUsed/>
    <w:rsid w:val="00B717E3"/>
    <w:pPr>
      <w:spacing w:line="240" w:lineRule="auto"/>
    </w:pPr>
    <w:rPr>
      <w:sz w:val="20"/>
      <w:szCs w:val="20"/>
    </w:rPr>
  </w:style>
  <w:style w:type="character" w:customStyle="1" w:styleId="CommentTextChar">
    <w:name w:val="Comment Text Char"/>
    <w:basedOn w:val="DefaultParagraphFont"/>
    <w:link w:val="CommentText"/>
    <w:rsid w:val="00B717E3"/>
    <w:rPr>
      <w:lang w:val="en-GB" w:eastAsia="en-US"/>
    </w:rPr>
  </w:style>
  <w:style w:type="character" w:styleId="CommentReference">
    <w:name w:val="annotation reference"/>
    <w:basedOn w:val="DefaultParagraphFont"/>
    <w:unhideWhenUsed/>
    <w:rsid w:val="00B717E3"/>
    <w:rPr>
      <w:sz w:val="16"/>
      <w:szCs w:val="16"/>
    </w:rPr>
  </w:style>
  <w:style w:type="paragraph" w:customStyle="1" w:styleId="EndNoteBibliographyTitle">
    <w:name w:val="EndNote Bibliography Title"/>
    <w:basedOn w:val="Normal"/>
    <w:link w:val="EndNoteBibliographyTitleChar"/>
    <w:rsid w:val="006525A4"/>
    <w:pPr>
      <w:jc w:val="center"/>
    </w:pPr>
    <w:rPr>
      <w:noProof/>
      <w:sz w:val="24"/>
      <w:lang w:val="en-US"/>
    </w:rPr>
  </w:style>
  <w:style w:type="character" w:customStyle="1" w:styleId="EndNoteBibliographyTitleChar">
    <w:name w:val="EndNote Bibliography Title Char"/>
    <w:basedOn w:val="DefaultParagraphFont"/>
    <w:link w:val="EndNoteBibliographyTitle"/>
    <w:rsid w:val="006525A4"/>
    <w:rPr>
      <w:noProof/>
      <w:sz w:val="24"/>
      <w:szCs w:val="24"/>
      <w:lang w:val="en-US" w:eastAsia="en-US"/>
    </w:rPr>
  </w:style>
  <w:style w:type="paragraph" w:customStyle="1" w:styleId="EndNoteBibliography">
    <w:name w:val="EndNote Bibliography"/>
    <w:basedOn w:val="Normal"/>
    <w:link w:val="EndNoteBibliographyChar"/>
    <w:rsid w:val="006525A4"/>
    <w:pPr>
      <w:spacing w:line="240" w:lineRule="auto"/>
    </w:pPr>
    <w:rPr>
      <w:noProof/>
      <w:sz w:val="24"/>
      <w:lang w:val="en-US"/>
    </w:rPr>
  </w:style>
  <w:style w:type="character" w:customStyle="1" w:styleId="EndNoteBibliographyChar">
    <w:name w:val="EndNote Bibliography Char"/>
    <w:basedOn w:val="DefaultParagraphFont"/>
    <w:link w:val="EndNoteBibliography"/>
    <w:rsid w:val="006525A4"/>
    <w:rPr>
      <w:noProof/>
      <w:sz w:val="24"/>
      <w:szCs w:val="24"/>
      <w:lang w:val="en-US" w:eastAsia="en-US"/>
    </w:rPr>
  </w:style>
  <w:style w:type="character" w:customStyle="1" w:styleId="apple-converted-space">
    <w:name w:val="apple-converted-space"/>
    <w:basedOn w:val="DefaultParagraphFont"/>
    <w:rsid w:val="00087C32"/>
  </w:style>
  <w:style w:type="paragraph" w:styleId="CommentSubject">
    <w:name w:val="annotation subject"/>
    <w:basedOn w:val="CommentText"/>
    <w:next w:val="CommentText"/>
    <w:link w:val="CommentSubjectChar"/>
    <w:rsid w:val="00267675"/>
    <w:rPr>
      <w:b/>
      <w:bCs/>
    </w:rPr>
  </w:style>
  <w:style w:type="character" w:customStyle="1" w:styleId="CommentSubjectChar">
    <w:name w:val="Comment Subject Char"/>
    <w:basedOn w:val="CommentTextChar"/>
    <w:link w:val="CommentSubject"/>
    <w:rsid w:val="00267675"/>
    <w:rPr>
      <w:b/>
      <w:bCs/>
      <w:lang w:val="en-GB" w:eastAsia="en-US"/>
    </w:rPr>
  </w:style>
  <w:style w:type="character" w:styleId="LineNumber">
    <w:name w:val="line number"/>
    <w:basedOn w:val="DefaultParagraphFont"/>
    <w:semiHidden/>
    <w:unhideWhenUsed/>
    <w:rsid w:val="003770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604318">
      <w:bodyDiv w:val="1"/>
      <w:marLeft w:val="0"/>
      <w:marRight w:val="0"/>
      <w:marTop w:val="0"/>
      <w:marBottom w:val="0"/>
      <w:divBdr>
        <w:top w:val="none" w:sz="0" w:space="0" w:color="auto"/>
        <w:left w:val="none" w:sz="0" w:space="0" w:color="auto"/>
        <w:bottom w:val="none" w:sz="0" w:space="0" w:color="auto"/>
        <w:right w:val="none" w:sz="0" w:space="0" w:color="auto"/>
      </w:divBdr>
    </w:div>
    <w:div w:id="34356044">
      <w:bodyDiv w:val="1"/>
      <w:marLeft w:val="0"/>
      <w:marRight w:val="0"/>
      <w:marTop w:val="0"/>
      <w:marBottom w:val="0"/>
      <w:divBdr>
        <w:top w:val="none" w:sz="0" w:space="0" w:color="auto"/>
        <w:left w:val="none" w:sz="0" w:space="0" w:color="auto"/>
        <w:bottom w:val="none" w:sz="0" w:space="0" w:color="auto"/>
        <w:right w:val="none" w:sz="0" w:space="0" w:color="auto"/>
      </w:divBdr>
    </w:div>
    <w:div w:id="35274773">
      <w:bodyDiv w:val="1"/>
      <w:marLeft w:val="0"/>
      <w:marRight w:val="0"/>
      <w:marTop w:val="0"/>
      <w:marBottom w:val="0"/>
      <w:divBdr>
        <w:top w:val="none" w:sz="0" w:space="0" w:color="auto"/>
        <w:left w:val="none" w:sz="0" w:space="0" w:color="auto"/>
        <w:bottom w:val="none" w:sz="0" w:space="0" w:color="auto"/>
        <w:right w:val="none" w:sz="0" w:space="0" w:color="auto"/>
      </w:divBdr>
    </w:div>
    <w:div w:id="52045732">
      <w:bodyDiv w:val="1"/>
      <w:marLeft w:val="0"/>
      <w:marRight w:val="0"/>
      <w:marTop w:val="0"/>
      <w:marBottom w:val="0"/>
      <w:divBdr>
        <w:top w:val="none" w:sz="0" w:space="0" w:color="auto"/>
        <w:left w:val="none" w:sz="0" w:space="0" w:color="auto"/>
        <w:bottom w:val="none" w:sz="0" w:space="0" w:color="auto"/>
        <w:right w:val="none" w:sz="0" w:space="0" w:color="auto"/>
      </w:divBdr>
    </w:div>
    <w:div w:id="56053338">
      <w:bodyDiv w:val="1"/>
      <w:marLeft w:val="0"/>
      <w:marRight w:val="0"/>
      <w:marTop w:val="0"/>
      <w:marBottom w:val="0"/>
      <w:divBdr>
        <w:top w:val="none" w:sz="0" w:space="0" w:color="auto"/>
        <w:left w:val="none" w:sz="0" w:space="0" w:color="auto"/>
        <w:bottom w:val="none" w:sz="0" w:space="0" w:color="auto"/>
        <w:right w:val="none" w:sz="0" w:space="0" w:color="auto"/>
      </w:divBdr>
      <w:divsChild>
        <w:div w:id="1486051724">
          <w:marLeft w:val="0"/>
          <w:marRight w:val="0"/>
          <w:marTop w:val="0"/>
          <w:marBottom w:val="0"/>
          <w:divBdr>
            <w:top w:val="none" w:sz="0" w:space="0" w:color="auto"/>
            <w:left w:val="none" w:sz="0" w:space="0" w:color="auto"/>
            <w:bottom w:val="none" w:sz="0" w:space="0" w:color="auto"/>
            <w:right w:val="none" w:sz="0" w:space="0" w:color="auto"/>
          </w:divBdr>
          <w:divsChild>
            <w:div w:id="1155493771">
              <w:marLeft w:val="0"/>
              <w:marRight w:val="0"/>
              <w:marTop w:val="0"/>
              <w:marBottom w:val="0"/>
              <w:divBdr>
                <w:top w:val="none" w:sz="0" w:space="0" w:color="auto"/>
                <w:left w:val="none" w:sz="0" w:space="0" w:color="auto"/>
                <w:bottom w:val="none" w:sz="0" w:space="0" w:color="auto"/>
                <w:right w:val="none" w:sz="0" w:space="0" w:color="auto"/>
              </w:divBdr>
              <w:divsChild>
                <w:div w:id="1868172647">
                  <w:marLeft w:val="0"/>
                  <w:marRight w:val="0"/>
                  <w:marTop w:val="0"/>
                  <w:marBottom w:val="0"/>
                  <w:divBdr>
                    <w:top w:val="none" w:sz="0" w:space="0" w:color="auto"/>
                    <w:left w:val="none" w:sz="0" w:space="0" w:color="auto"/>
                    <w:bottom w:val="none" w:sz="0" w:space="0" w:color="auto"/>
                    <w:right w:val="none" w:sz="0" w:space="0" w:color="auto"/>
                  </w:divBdr>
                  <w:divsChild>
                    <w:div w:id="1498420061">
                      <w:marLeft w:val="0"/>
                      <w:marRight w:val="0"/>
                      <w:marTop w:val="0"/>
                      <w:marBottom w:val="0"/>
                      <w:divBdr>
                        <w:top w:val="none" w:sz="0" w:space="0" w:color="auto"/>
                        <w:left w:val="none" w:sz="0" w:space="0" w:color="auto"/>
                        <w:bottom w:val="none" w:sz="0" w:space="0" w:color="auto"/>
                        <w:right w:val="none" w:sz="0" w:space="0" w:color="auto"/>
                      </w:divBdr>
                      <w:divsChild>
                        <w:div w:id="1260332427">
                          <w:marLeft w:val="0"/>
                          <w:marRight w:val="0"/>
                          <w:marTop w:val="0"/>
                          <w:marBottom w:val="0"/>
                          <w:divBdr>
                            <w:top w:val="none" w:sz="0" w:space="0" w:color="auto"/>
                            <w:left w:val="none" w:sz="0" w:space="0" w:color="auto"/>
                            <w:bottom w:val="none" w:sz="0" w:space="0" w:color="auto"/>
                            <w:right w:val="none" w:sz="0" w:space="0" w:color="auto"/>
                          </w:divBdr>
                          <w:divsChild>
                            <w:div w:id="2132552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470267">
      <w:bodyDiv w:val="1"/>
      <w:marLeft w:val="0"/>
      <w:marRight w:val="0"/>
      <w:marTop w:val="0"/>
      <w:marBottom w:val="0"/>
      <w:divBdr>
        <w:top w:val="none" w:sz="0" w:space="0" w:color="auto"/>
        <w:left w:val="none" w:sz="0" w:space="0" w:color="auto"/>
        <w:bottom w:val="none" w:sz="0" w:space="0" w:color="auto"/>
        <w:right w:val="none" w:sz="0" w:space="0" w:color="auto"/>
      </w:divBdr>
    </w:div>
    <w:div w:id="142545947">
      <w:bodyDiv w:val="1"/>
      <w:marLeft w:val="0"/>
      <w:marRight w:val="0"/>
      <w:marTop w:val="0"/>
      <w:marBottom w:val="0"/>
      <w:divBdr>
        <w:top w:val="none" w:sz="0" w:space="0" w:color="auto"/>
        <w:left w:val="none" w:sz="0" w:space="0" w:color="auto"/>
        <w:bottom w:val="none" w:sz="0" w:space="0" w:color="auto"/>
        <w:right w:val="none" w:sz="0" w:space="0" w:color="auto"/>
      </w:divBdr>
    </w:div>
    <w:div w:id="159079457">
      <w:bodyDiv w:val="1"/>
      <w:marLeft w:val="0"/>
      <w:marRight w:val="0"/>
      <w:marTop w:val="0"/>
      <w:marBottom w:val="0"/>
      <w:divBdr>
        <w:top w:val="none" w:sz="0" w:space="0" w:color="auto"/>
        <w:left w:val="none" w:sz="0" w:space="0" w:color="auto"/>
        <w:bottom w:val="none" w:sz="0" w:space="0" w:color="auto"/>
        <w:right w:val="none" w:sz="0" w:space="0" w:color="auto"/>
      </w:divBdr>
    </w:div>
    <w:div w:id="226696216">
      <w:bodyDiv w:val="1"/>
      <w:marLeft w:val="0"/>
      <w:marRight w:val="0"/>
      <w:marTop w:val="0"/>
      <w:marBottom w:val="0"/>
      <w:divBdr>
        <w:top w:val="none" w:sz="0" w:space="0" w:color="auto"/>
        <w:left w:val="none" w:sz="0" w:space="0" w:color="auto"/>
        <w:bottom w:val="none" w:sz="0" w:space="0" w:color="auto"/>
        <w:right w:val="none" w:sz="0" w:space="0" w:color="auto"/>
      </w:divBdr>
    </w:div>
    <w:div w:id="295260753">
      <w:bodyDiv w:val="1"/>
      <w:marLeft w:val="0"/>
      <w:marRight w:val="0"/>
      <w:marTop w:val="0"/>
      <w:marBottom w:val="0"/>
      <w:divBdr>
        <w:top w:val="none" w:sz="0" w:space="0" w:color="auto"/>
        <w:left w:val="none" w:sz="0" w:space="0" w:color="auto"/>
        <w:bottom w:val="none" w:sz="0" w:space="0" w:color="auto"/>
        <w:right w:val="none" w:sz="0" w:space="0" w:color="auto"/>
      </w:divBdr>
    </w:div>
    <w:div w:id="314651611">
      <w:bodyDiv w:val="1"/>
      <w:marLeft w:val="0"/>
      <w:marRight w:val="0"/>
      <w:marTop w:val="0"/>
      <w:marBottom w:val="0"/>
      <w:divBdr>
        <w:top w:val="none" w:sz="0" w:space="0" w:color="auto"/>
        <w:left w:val="none" w:sz="0" w:space="0" w:color="auto"/>
        <w:bottom w:val="none" w:sz="0" w:space="0" w:color="auto"/>
        <w:right w:val="none" w:sz="0" w:space="0" w:color="auto"/>
      </w:divBdr>
    </w:div>
    <w:div w:id="322777202">
      <w:bodyDiv w:val="1"/>
      <w:marLeft w:val="0"/>
      <w:marRight w:val="0"/>
      <w:marTop w:val="0"/>
      <w:marBottom w:val="0"/>
      <w:divBdr>
        <w:top w:val="none" w:sz="0" w:space="0" w:color="auto"/>
        <w:left w:val="none" w:sz="0" w:space="0" w:color="auto"/>
        <w:bottom w:val="none" w:sz="0" w:space="0" w:color="auto"/>
        <w:right w:val="none" w:sz="0" w:space="0" w:color="auto"/>
      </w:divBdr>
    </w:div>
    <w:div w:id="469792137">
      <w:bodyDiv w:val="1"/>
      <w:marLeft w:val="0"/>
      <w:marRight w:val="0"/>
      <w:marTop w:val="0"/>
      <w:marBottom w:val="0"/>
      <w:divBdr>
        <w:top w:val="none" w:sz="0" w:space="0" w:color="auto"/>
        <w:left w:val="none" w:sz="0" w:space="0" w:color="auto"/>
        <w:bottom w:val="none" w:sz="0" w:space="0" w:color="auto"/>
        <w:right w:val="none" w:sz="0" w:space="0" w:color="auto"/>
      </w:divBdr>
    </w:div>
    <w:div w:id="479805899">
      <w:bodyDiv w:val="1"/>
      <w:marLeft w:val="0"/>
      <w:marRight w:val="0"/>
      <w:marTop w:val="0"/>
      <w:marBottom w:val="0"/>
      <w:divBdr>
        <w:top w:val="none" w:sz="0" w:space="0" w:color="auto"/>
        <w:left w:val="none" w:sz="0" w:space="0" w:color="auto"/>
        <w:bottom w:val="none" w:sz="0" w:space="0" w:color="auto"/>
        <w:right w:val="none" w:sz="0" w:space="0" w:color="auto"/>
      </w:divBdr>
    </w:div>
    <w:div w:id="480345837">
      <w:bodyDiv w:val="1"/>
      <w:marLeft w:val="0"/>
      <w:marRight w:val="0"/>
      <w:marTop w:val="0"/>
      <w:marBottom w:val="0"/>
      <w:divBdr>
        <w:top w:val="none" w:sz="0" w:space="0" w:color="auto"/>
        <w:left w:val="none" w:sz="0" w:space="0" w:color="auto"/>
        <w:bottom w:val="none" w:sz="0" w:space="0" w:color="auto"/>
        <w:right w:val="none" w:sz="0" w:space="0" w:color="auto"/>
      </w:divBdr>
      <w:divsChild>
        <w:div w:id="1335373154">
          <w:marLeft w:val="0"/>
          <w:marRight w:val="0"/>
          <w:marTop w:val="0"/>
          <w:marBottom w:val="0"/>
          <w:divBdr>
            <w:top w:val="none" w:sz="0" w:space="0" w:color="auto"/>
            <w:left w:val="none" w:sz="0" w:space="0" w:color="auto"/>
            <w:bottom w:val="none" w:sz="0" w:space="0" w:color="auto"/>
            <w:right w:val="none" w:sz="0" w:space="0" w:color="auto"/>
          </w:divBdr>
          <w:divsChild>
            <w:div w:id="134302217">
              <w:marLeft w:val="0"/>
              <w:marRight w:val="0"/>
              <w:marTop w:val="0"/>
              <w:marBottom w:val="0"/>
              <w:divBdr>
                <w:top w:val="none" w:sz="0" w:space="0" w:color="auto"/>
                <w:left w:val="none" w:sz="0" w:space="0" w:color="auto"/>
                <w:bottom w:val="none" w:sz="0" w:space="0" w:color="auto"/>
                <w:right w:val="none" w:sz="0" w:space="0" w:color="auto"/>
              </w:divBdr>
              <w:divsChild>
                <w:div w:id="1712530051">
                  <w:marLeft w:val="2930"/>
                  <w:marRight w:val="0"/>
                  <w:marTop w:val="0"/>
                  <w:marBottom w:val="0"/>
                  <w:divBdr>
                    <w:top w:val="none" w:sz="0" w:space="0" w:color="auto"/>
                    <w:left w:val="single" w:sz="48" w:space="0" w:color="EEEFFF"/>
                    <w:bottom w:val="none" w:sz="0" w:space="0" w:color="auto"/>
                    <w:right w:val="none" w:sz="0" w:space="0" w:color="auto"/>
                  </w:divBdr>
                  <w:divsChild>
                    <w:div w:id="1752311380">
                      <w:marLeft w:val="0"/>
                      <w:marRight w:val="0"/>
                      <w:marTop w:val="0"/>
                      <w:marBottom w:val="0"/>
                      <w:divBdr>
                        <w:top w:val="none" w:sz="0" w:space="0" w:color="auto"/>
                        <w:left w:val="none" w:sz="0" w:space="0" w:color="auto"/>
                        <w:bottom w:val="none" w:sz="0" w:space="0" w:color="auto"/>
                        <w:right w:val="none" w:sz="0" w:space="0" w:color="auto"/>
                      </w:divBdr>
                      <w:divsChild>
                        <w:div w:id="1364750376">
                          <w:marLeft w:val="0"/>
                          <w:marRight w:val="0"/>
                          <w:marTop w:val="0"/>
                          <w:marBottom w:val="0"/>
                          <w:divBdr>
                            <w:top w:val="none" w:sz="0" w:space="0" w:color="auto"/>
                            <w:left w:val="none" w:sz="0" w:space="0" w:color="auto"/>
                            <w:bottom w:val="none" w:sz="0" w:space="0" w:color="auto"/>
                            <w:right w:val="none" w:sz="0" w:space="0" w:color="auto"/>
                          </w:divBdr>
                          <w:divsChild>
                            <w:div w:id="1283877494">
                              <w:marLeft w:val="0"/>
                              <w:marRight w:val="0"/>
                              <w:marTop w:val="0"/>
                              <w:marBottom w:val="0"/>
                              <w:divBdr>
                                <w:top w:val="none" w:sz="0" w:space="0" w:color="auto"/>
                                <w:left w:val="none" w:sz="0" w:space="0" w:color="auto"/>
                                <w:bottom w:val="none" w:sz="0" w:space="0" w:color="auto"/>
                                <w:right w:val="none" w:sz="0" w:space="0" w:color="auto"/>
                              </w:divBdr>
                              <w:divsChild>
                                <w:div w:id="1426069734">
                                  <w:marLeft w:val="0"/>
                                  <w:marRight w:val="0"/>
                                  <w:marTop w:val="0"/>
                                  <w:marBottom w:val="0"/>
                                  <w:divBdr>
                                    <w:top w:val="none" w:sz="0" w:space="0" w:color="auto"/>
                                    <w:left w:val="none" w:sz="0" w:space="0" w:color="auto"/>
                                    <w:bottom w:val="none" w:sz="0" w:space="0" w:color="auto"/>
                                    <w:right w:val="none" w:sz="0" w:space="0" w:color="auto"/>
                                  </w:divBdr>
                                  <w:divsChild>
                                    <w:div w:id="1366298287">
                                      <w:marLeft w:val="0"/>
                                      <w:marRight w:val="0"/>
                                      <w:marTop w:val="0"/>
                                      <w:marBottom w:val="0"/>
                                      <w:divBdr>
                                        <w:top w:val="none" w:sz="0" w:space="0" w:color="auto"/>
                                        <w:left w:val="none" w:sz="0" w:space="0" w:color="auto"/>
                                        <w:bottom w:val="none" w:sz="0" w:space="0" w:color="auto"/>
                                        <w:right w:val="none" w:sz="0" w:space="0" w:color="auto"/>
                                      </w:divBdr>
                                      <w:divsChild>
                                        <w:div w:id="320306841">
                                          <w:marLeft w:val="0"/>
                                          <w:marRight w:val="0"/>
                                          <w:marTop w:val="0"/>
                                          <w:marBottom w:val="0"/>
                                          <w:divBdr>
                                            <w:top w:val="none" w:sz="0" w:space="0" w:color="auto"/>
                                            <w:left w:val="none" w:sz="0" w:space="0" w:color="auto"/>
                                            <w:bottom w:val="none" w:sz="0" w:space="0" w:color="auto"/>
                                            <w:right w:val="none" w:sz="0" w:space="0" w:color="auto"/>
                                          </w:divBdr>
                                          <w:divsChild>
                                            <w:div w:id="884874789">
                                              <w:marLeft w:val="0"/>
                                              <w:marRight w:val="0"/>
                                              <w:marTop w:val="0"/>
                                              <w:marBottom w:val="0"/>
                                              <w:divBdr>
                                                <w:top w:val="none" w:sz="0" w:space="0" w:color="auto"/>
                                                <w:left w:val="none" w:sz="0" w:space="0" w:color="auto"/>
                                                <w:bottom w:val="none" w:sz="0" w:space="0" w:color="auto"/>
                                                <w:right w:val="none" w:sz="0" w:space="0" w:color="auto"/>
                                              </w:divBdr>
                                              <w:divsChild>
                                                <w:div w:id="523592389">
                                                  <w:marLeft w:val="0"/>
                                                  <w:marRight w:val="0"/>
                                                  <w:marTop w:val="0"/>
                                                  <w:marBottom w:val="0"/>
                                                  <w:divBdr>
                                                    <w:top w:val="none" w:sz="0" w:space="0" w:color="auto"/>
                                                    <w:left w:val="none" w:sz="0" w:space="0" w:color="auto"/>
                                                    <w:bottom w:val="none" w:sz="0" w:space="0" w:color="auto"/>
                                                    <w:right w:val="none" w:sz="0" w:space="0" w:color="auto"/>
                                                  </w:divBdr>
                                                  <w:divsChild>
                                                    <w:div w:id="360595952">
                                                      <w:marLeft w:val="0"/>
                                                      <w:marRight w:val="0"/>
                                                      <w:marTop w:val="0"/>
                                                      <w:marBottom w:val="0"/>
                                                      <w:divBdr>
                                                        <w:top w:val="none" w:sz="0" w:space="0" w:color="auto"/>
                                                        <w:left w:val="none" w:sz="0" w:space="0" w:color="auto"/>
                                                        <w:bottom w:val="none" w:sz="0" w:space="0" w:color="auto"/>
                                                        <w:right w:val="none" w:sz="0" w:space="0" w:color="auto"/>
                                                      </w:divBdr>
                                                      <w:divsChild>
                                                        <w:div w:id="981545304">
                                                          <w:marLeft w:val="720"/>
                                                          <w:marRight w:val="480"/>
                                                          <w:marTop w:val="0"/>
                                                          <w:marBottom w:val="72"/>
                                                          <w:divBdr>
                                                            <w:top w:val="single" w:sz="6" w:space="5" w:color="000000"/>
                                                            <w:left w:val="single" w:sz="6" w:space="5" w:color="000000"/>
                                                            <w:bottom w:val="single" w:sz="6" w:space="5" w:color="000000"/>
                                                            <w:right w:val="single" w:sz="6" w:space="5" w:color="000000"/>
                                                          </w:divBdr>
                                                          <w:divsChild>
                                                            <w:div w:id="1174496522">
                                                              <w:marLeft w:val="480"/>
                                                              <w:marRight w:val="0"/>
                                                              <w:marTop w:val="0"/>
                                                              <w:marBottom w:val="0"/>
                                                              <w:divBdr>
                                                                <w:top w:val="none" w:sz="0" w:space="0" w:color="auto"/>
                                                                <w:left w:val="none" w:sz="0" w:space="0" w:color="auto"/>
                                                                <w:bottom w:val="none" w:sz="0" w:space="0" w:color="auto"/>
                                                                <w:right w:val="none" w:sz="0" w:space="0" w:color="auto"/>
                                                              </w:divBdr>
                                                            </w:div>
                                                            <w:div w:id="1237129359">
                                                              <w:marLeft w:val="480"/>
                                                              <w:marRight w:val="480"/>
                                                              <w:marTop w:val="24"/>
                                                              <w:marBottom w:val="2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2475776">
      <w:bodyDiv w:val="1"/>
      <w:marLeft w:val="0"/>
      <w:marRight w:val="0"/>
      <w:marTop w:val="0"/>
      <w:marBottom w:val="0"/>
      <w:divBdr>
        <w:top w:val="none" w:sz="0" w:space="0" w:color="auto"/>
        <w:left w:val="none" w:sz="0" w:space="0" w:color="auto"/>
        <w:bottom w:val="none" w:sz="0" w:space="0" w:color="auto"/>
        <w:right w:val="none" w:sz="0" w:space="0" w:color="auto"/>
      </w:divBdr>
    </w:div>
    <w:div w:id="601033802">
      <w:bodyDiv w:val="1"/>
      <w:marLeft w:val="0"/>
      <w:marRight w:val="0"/>
      <w:marTop w:val="0"/>
      <w:marBottom w:val="0"/>
      <w:divBdr>
        <w:top w:val="none" w:sz="0" w:space="0" w:color="auto"/>
        <w:left w:val="none" w:sz="0" w:space="0" w:color="auto"/>
        <w:bottom w:val="none" w:sz="0" w:space="0" w:color="auto"/>
        <w:right w:val="none" w:sz="0" w:space="0" w:color="auto"/>
      </w:divBdr>
    </w:div>
    <w:div w:id="611475738">
      <w:bodyDiv w:val="1"/>
      <w:marLeft w:val="0"/>
      <w:marRight w:val="0"/>
      <w:marTop w:val="0"/>
      <w:marBottom w:val="0"/>
      <w:divBdr>
        <w:top w:val="none" w:sz="0" w:space="0" w:color="auto"/>
        <w:left w:val="none" w:sz="0" w:space="0" w:color="auto"/>
        <w:bottom w:val="none" w:sz="0" w:space="0" w:color="auto"/>
        <w:right w:val="none" w:sz="0" w:space="0" w:color="auto"/>
      </w:divBdr>
    </w:div>
    <w:div w:id="630284418">
      <w:bodyDiv w:val="1"/>
      <w:marLeft w:val="0"/>
      <w:marRight w:val="0"/>
      <w:marTop w:val="0"/>
      <w:marBottom w:val="0"/>
      <w:divBdr>
        <w:top w:val="none" w:sz="0" w:space="0" w:color="auto"/>
        <w:left w:val="none" w:sz="0" w:space="0" w:color="auto"/>
        <w:bottom w:val="none" w:sz="0" w:space="0" w:color="auto"/>
        <w:right w:val="none" w:sz="0" w:space="0" w:color="auto"/>
      </w:divBdr>
    </w:div>
    <w:div w:id="647980465">
      <w:bodyDiv w:val="1"/>
      <w:marLeft w:val="0"/>
      <w:marRight w:val="0"/>
      <w:marTop w:val="0"/>
      <w:marBottom w:val="0"/>
      <w:divBdr>
        <w:top w:val="none" w:sz="0" w:space="0" w:color="auto"/>
        <w:left w:val="none" w:sz="0" w:space="0" w:color="auto"/>
        <w:bottom w:val="none" w:sz="0" w:space="0" w:color="auto"/>
        <w:right w:val="none" w:sz="0" w:space="0" w:color="auto"/>
      </w:divBdr>
    </w:div>
    <w:div w:id="656226552">
      <w:bodyDiv w:val="1"/>
      <w:marLeft w:val="0"/>
      <w:marRight w:val="0"/>
      <w:marTop w:val="0"/>
      <w:marBottom w:val="0"/>
      <w:divBdr>
        <w:top w:val="none" w:sz="0" w:space="0" w:color="auto"/>
        <w:left w:val="none" w:sz="0" w:space="0" w:color="auto"/>
        <w:bottom w:val="none" w:sz="0" w:space="0" w:color="auto"/>
        <w:right w:val="none" w:sz="0" w:space="0" w:color="auto"/>
      </w:divBdr>
    </w:div>
    <w:div w:id="664825704">
      <w:bodyDiv w:val="1"/>
      <w:marLeft w:val="0"/>
      <w:marRight w:val="0"/>
      <w:marTop w:val="0"/>
      <w:marBottom w:val="0"/>
      <w:divBdr>
        <w:top w:val="none" w:sz="0" w:space="0" w:color="auto"/>
        <w:left w:val="none" w:sz="0" w:space="0" w:color="auto"/>
        <w:bottom w:val="none" w:sz="0" w:space="0" w:color="auto"/>
        <w:right w:val="none" w:sz="0" w:space="0" w:color="auto"/>
      </w:divBdr>
    </w:div>
    <w:div w:id="684749520">
      <w:bodyDiv w:val="1"/>
      <w:marLeft w:val="0"/>
      <w:marRight w:val="0"/>
      <w:marTop w:val="0"/>
      <w:marBottom w:val="0"/>
      <w:divBdr>
        <w:top w:val="none" w:sz="0" w:space="0" w:color="auto"/>
        <w:left w:val="none" w:sz="0" w:space="0" w:color="auto"/>
        <w:bottom w:val="none" w:sz="0" w:space="0" w:color="auto"/>
        <w:right w:val="none" w:sz="0" w:space="0" w:color="auto"/>
      </w:divBdr>
    </w:div>
    <w:div w:id="758063184">
      <w:bodyDiv w:val="1"/>
      <w:marLeft w:val="0"/>
      <w:marRight w:val="0"/>
      <w:marTop w:val="0"/>
      <w:marBottom w:val="0"/>
      <w:divBdr>
        <w:top w:val="none" w:sz="0" w:space="0" w:color="auto"/>
        <w:left w:val="none" w:sz="0" w:space="0" w:color="auto"/>
        <w:bottom w:val="none" w:sz="0" w:space="0" w:color="auto"/>
        <w:right w:val="none" w:sz="0" w:space="0" w:color="auto"/>
      </w:divBdr>
    </w:div>
    <w:div w:id="835192564">
      <w:bodyDiv w:val="1"/>
      <w:marLeft w:val="0"/>
      <w:marRight w:val="0"/>
      <w:marTop w:val="0"/>
      <w:marBottom w:val="0"/>
      <w:divBdr>
        <w:top w:val="none" w:sz="0" w:space="0" w:color="auto"/>
        <w:left w:val="none" w:sz="0" w:space="0" w:color="auto"/>
        <w:bottom w:val="none" w:sz="0" w:space="0" w:color="auto"/>
        <w:right w:val="none" w:sz="0" w:space="0" w:color="auto"/>
      </w:divBdr>
    </w:div>
    <w:div w:id="857893670">
      <w:bodyDiv w:val="1"/>
      <w:marLeft w:val="0"/>
      <w:marRight w:val="0"/>
      <w:marTop w:val="0"/>
      <w:marBottom w:val="0"/>
      <w:divBdr>
        <w:top w:val="none" w:sz="0" w:space="0" w:color="auto"/>
        <w:left w:val="none" w:sz="0" w:space="0" w:color="auto"/>
        <w:bottom w:val="none" w:sz="0" w:space="0" w:color="auto"/>
        <w:right w:val="none" w:sz="0" w:space="0" w:color="auto"/>
      </w:divBdr>
    </w:div>
    <w:div w:id="858860970">
      <w:bodyDiv w:val="1"/>
      <w:marLeft w:val="0"/>
      <w:marRight w:val="0"/>
      <w:marTop w:val="0"/>
      <w:marBottom w:val="0"/>
      <w:divBdr>
        <w:top w:val="none" w:sz="0" w:space="0" w:color="auto"/>
        <w:left w:val="none" w:sz="0" w:space="0" w:color="auto"/>
        <w:bottom w:val="none" w:sz="0" w:space="0" w:color="auto"/>
        <w:right w:val="none" w:sz="0" w:space="0" w:color="auto"/>
      </w:divBdr>
    </w:div>
    <w:div w:id="896284355">
      <w:bodyDiv w:val="1"/>
      <w:marLeft w:val="0"/>
      <w:marRight w:val="0"/>
      <w:marTop w:val="0"/>
      <w:marBottom w:val="0"/>
      <w:divBdr>
        <w:top w:val="none" w:sz="0" w:space="0" w:color="auto"/>
        <w:left w:val="none" w:sz="0" w:space="0" w:color="auto"/>
        <w:bottom w:val="none" w:sz="0" w:space="0" w:color="auto"/>
        <w:right w:val="none" w:sz="0" w:space="0" w:color="auto"/>
      </w:divBdr>
    </w:div>
    <w:div w:id="920869834">
      <w:bodyDiv w:val="1"/>
      <w:marLeft w:val="0"/>
      <w:marRight w:val="0"/>
      <w:marTop w:val="0"/>
      <w:marBottom w:val="0"/>
      <w:divBdr>
        <w:top w:val="none" w:sz="0" w:space="0" w:color="auto"/>
        <w:left w:val="none" w:sz="0" w:space="0" w:color="auto"/>
        <w:bottom w:val="none" w:sz="0" w:space="0" w:color="auto"/>
        <w:right w:val="none" w:sz="0" w:space="0" w:color="auto"/>
      </w:divBdr>
    </w:div>
    <w:div w:id="934169685">
      <w:bodyDiv w:val="1"/>
      <w:marLeft w:val="0"/>
      <w:marRight w:val="0"/>
      <w:marTop w:val="0"/>
      <w:marBottom w:val="0"/>
      <w:divBdr>
        <w:top w:val="none" w:sz="0" w:space="0" w:color="auto"/>
        <w:left w:val="none" w:sz="0" w:space="0" w:color="auto"/>
        <w:bottom w:val="none" w:sz="0" w:space="0" w:color="auto"/>
        <w:right w:val="none" w:sz="0" w:space="0" w:color="auto"/>
      </w:divBdr>
    </w:div>
    <w:div w:id="943801267">
      <w:bodyDiv w:val="1"/>
      <w:marLeft w:val="0"/>
      <w:marRight w:val="0"/>
      <w:marTop w:val="0"/>
      <w:marBottom w:val="0"/>
      <w:divBdr>
        <w:top w:val="none" w:sz="0" w:space="0" w:color="auto"/>
        <w:left w:val="none" w:sz="0" w:space="0" w:color="auto"/>
        <w:bottom w:val="none" w:sz="0" w:space="0" w:color="auto"/>
        <w:right w:val="none" w:sz="0" w:space="0" w:color="auto"/>
      </w:divBdr>
    </w:div>
    <w:div w:id="993723025">
      <w:bodyDiv w:val="1"/>
      <w:marLeft w:val="0"/>
      <w:marRight w:val="0"/>
      <w:marTop w:val="0"/>
      <w:marBottom w:val="0"/>
      <w:divBdr>
        <w:top w:val="none" w:sz="0" w:space="0" w:color="auto"/>
        <w:left w:val="none" w:sz="0" w:space="0" w:color="auto"/>
        <w:bottom w:val="none" w:sz="0" w:space="0" w:color="auto"/>
        <w:right w:val="none" w:sz="0" w:space="0" w:color="auto"/>
      </w:divBdr>
    </w:div>
    <w:div w:id="1043675609">
      <w:bodyDiv w:val="1"/>
      <w:marLeft w:val="0"/>
      <w:marRight w:val="0"/>
      <w:marTop w:val="0"/>
      <w:marBottom w:val="0"/>
      <w:divBdr>
        <w:top w:val="none" w:sz="0" w:space="0" w:color="auto"/>
        <w:left w:val="none" w:sz="0" w:space="0" w:color="auto"/>
        <w:bottom w:val="none" w:sz="0" w:space="0" w:color="auto"/>
        <w:right w:val="none" w:sz="0" w:space="0" w:color="auto"/>
      </w:divBdr>
    </w:div>
    <w:div w:id="1051731283">
      <w:bodyDiv w:val="1"/>
      <w:marLeft w:val="0"/>
      <w:marRight w:val="0"/>
      <w:marTop w:val="0"/>
      <w:marBottom w:val="0"/>
      <w:divBdr>
        <w:top w:val="none" w:sz="0" w:space="0" w:color="auto"/>
        <w:left w:val="none" w:sz="0" w:space="0" w:color="auto"/>
        <w:bottom w:val="none" w:sz="0" w:space="0" w:color="auto"/>
        <w:right w:val="none" w:sz="0" w:space="0" w:color="auto"/>
      </w:divBdr>
    </w:div>
    <w:div w:id="1110320147">
      <w:bodyDiv w:val="1"/>
      <w:marLeft w:val="0"/>
      <w:marRight w:val="0"/>
      <w:marTop w:val="0"/>
      <w:marBottom w:val="0"/>
      <w:divBdr>
        <w:top w:val="none" w:sz="0" w:space="0" w:color="auto"/>
        <w:left w:val="none" w:sz="0" w:space="0" w:color="auto"/>
        <w:bottom w:val="none" w:sz="0" w:space="0" w:color="auto"/>
        <w:right w:val="none" w:sz="0" w:space="0" w:color="auto"/>
      </w:divBdr>
    </w:div>
    <w:div w:id="1113279808">
      <w:bodyDiv w:val="1"/>
      <w:marLeft w:val="0"/>
      <w:marRight w:val="0"/>
      <w:marTop w:val="0"/>
      <w:marBottom w:val="0"/>
      <w:divBdr>
        <w:top w:val="none" w:sz="0" w:space="0" w:color="auto"/>
        <w:left w:val="none" w:sz="0" w:space="0" w:color="auto"/>
        <w:bottom w:val="none" w:sz="0" w:space="0" w:color="auto"/>
        <w:right w:val="none" w:sz="0" w:space="0" w:color="auto"/>
      </w:divBdr>
    </w:div>
    <w:div w:id="1169172838">
      <w:bodyDiv w:val="1"/>
      <w:marLeft w:val="0"/>
      <w:marRight w:val="0"/>
      <w:marTop w:val="0"/>
      <w:marBottom w:val="0"/>
      <w:divBdr>
        <w:top w:val="none" w:sz="0" w:space="0" w:color="auto"/>
        <w:left w:val="none" w:sz="0" w:space="0" w:color="auto"/>
        <w:bottom w:val="none" w:sz="0" w:space="0" w:color="auto"/>
        <w:right w:val="none" w:sz="0" w:space="0" w:color="auto"/>
      </w:divBdr>
    </w:div>
    <w:div w:id="1288775365">
      <w:bodyDiv w:val="1"/>
      <w:marLeft w:val="0"/>
      <w:marRight w:val="0"/>
      <w:marTop w:val="0"/>
      <w:marBottom w:val="0"/>
      <w:divBdr>
        <w:top w:val="none" w:sz="0" w:space="0" w:color="auto"/>
        <w:left w:val="none" w:sz="0" w:space="0" w:color="auto"/>
        <w:bottom w:val="none" w:sz="0" w:space="0" w:color="auto"/>
        <w:right w:val="none" w:sz="0" w:space="0" w:color="auto"/>
      </w:divBdr>
    </w:div>
    <w:div w:id="1296639498">
      <w:bodyDiv w:val="1"/>
      <w:marLeft w:val="0"/>
      <w:marRight w:val="0"/>
      <w:marTop w:val="0"/>
      <w:marBottom w:val="0"/>
      <w:divBdr>
        <w:top w:val="none" w:sz="0" w:space="0" w:color="auto"/>
        <w:left w:val="none" w:sz="0" w:space="0" w:color="auto"/>
        <w:bottom w:val="none" w:sz="0" w:space="0" w:color="auto"/>
        <w:right w:val="none" w:sz="0" w:space="0" w:color="auto"/>
      </w:divBdr>
    </w:div>
    <w:div w:id="1299532430">
      <w:bodyDiv w:val="1"/>
      <w:marLeft w:val="0"/>
      <w:marRight w:val="0"/>
      <w:marTop w:val="0"/>
      <w:marBottom w:val="0"/>
      <w:divBdr>
        <w:top w:val="none" w:sz="0" w:space="0" w:color="auto"/>
        <w:left w:val="none" w:sz="0" w:space="0" w:color="auto"/>
        <w:bottom w:val="none" w:sz="0" w:space="0" w:color="auto"/>
        <w:right w:val="none" w:sz="0" w:space="0" w:color="auto"/>
      </w:divBdr>
    </w:div>
    <w:div w:id="1302613205">
      <w:bodyDiv w:val="1"/>
      <w:marLeft w:val="0"/>
      <w:marRight w:val="0"/>
      <w:marTop w:val="0"/>
      <w:marBottom w:val="0"/>
      <w:divBdr>
        <w:top w:val="none" w:sz="0" w:space="0" w:color="auto"/>
        <w:left w:val="none" w:sz="0" w:space="0" w:color="auto"/>
        <w:bottom w:val="none" w:sz="0" w:space="0" w:color="auto"/>
        <w:right w:val="none" w:sz="0" w:space="0" w:color="auto"/>
      </w:divBdr>
    </w:div>
    <w:div w:id="1314798279">
      <w:bodyDiv w:val="1"/>
      <w:marLeft w:val="0"/>
      <w:marRight w:val="0"/>
      <w:marTop w:val="0"/>
      <w:marBottom w:val="0"/>
      <w:divBdr>
        <w:top w:val="none" w:sz="0" w:space="0" w:color="auto"/>
        <w:left w:val="none" w:sz="0" w:space="0" w:color="auto"/>
        <w:bottom w:val="none" w:sz="0" w:space="0" w:color="auto"/>
        <w:right w:val="none" w:sz="0" w:space="0" w:color="auto"/>
      </w:divBdr>
    </w:div>
    <w:div w:id="1324505379">
      <w:bodyDiv w:val="1"/>
      <w:marLeft w:val="0"/>
      <w:marRight w:val="0"/>
      <w:marTop w:val="0"/>
      <w:marBottom w:val="0"/>
      <w:divBdr>
        <w:top w:val="none" w:sz="0" w:space="0" w:color="auto"/>
        <w:left w:val="none" w:sz="0" w:space="0" w:color="auto"/>
        <w:bottom w:val="none" w:sz="0" w:space="0" w:color="auto"/>
        <w:right w:val="none" w:sz="0" w:space="0" w:color="auto"/>
      </w:divBdr>
    </w:div>
    <w:div w:id="1358043582">
      <w:bodyDiv w:val="1"/>
      <w:marLeft w:val="0"/>
      <w:marRight w:val="0"/>
      <w:marTop w:val="0"/>
      <w:marBottom w:val="0"/>
      <w:divBdr>
        <w:top w:val="none" w:sz="0" w:space="0" w:color="auto"/>
        <w:left w:val="none" w:sz="0" w:space="0" w:color="auto"/>
        <w:bottom w:val="none" w:sz="0" w:space="0" w:color="auto"/>
        <w:right w:val="none" w:sz="0" w:space="0" w:color="auto"/>
      </w:divBdr>
    </w:div>
    <w:div w:id="1470438171">
      <w:bodyDiv w:val="1"/>
      <w:marLeft w:val="0"/>
      <w:marRight w:val="0"/>
      <w:marTop w:val="0"/>
      <w:marBottom w:val="0"/>
      <w:divBdr>
        <w:top w:val="none" w:sz="0" w:space="0" w:color="auto"/>
        <w:left w:val="none" w:sz="0" w:space="0" w:color="auto"/>
        <w:bottom w:val="none" w:sz="0" w:space="0" w:color="auto"/>
        <w:right w:val="none" w:sz="0" w:space="0" w:color="auto"/>
      </w:divBdr>
    </w:div>
    <w:div w:id="1476214198">
      <w:bodyDiv w:val="1"/>
      <w:marLeft w:val="0"/>
      <w:marRight w:val="0"/>
      <w:marTop w:val="0"/>
      <w:marBottom w:val="0"/>
      <w:divBdr>
        <w:top w:val="none" w:sz="0" w:space="0" w:color="auto"/>
        <w:left w:val="none" w:sz="0" w:space="0" w:color="auto"/>
        <w:bottom w:val="none" w:sz="0" w:space="0" w:color="auto"/>
        <w:right w:val="none" w:sz="0" w:space="0" w:color="auto"/>
      </w:divBdr>
    </w:div>
    <w:div w:id="1479031060">
      <w:bodyDiv w:val="1"/>
      <w:marLeft w:val="0"/>
      <w:marRight w:val="0"/>
      <w:marTop w:val="0"/>
      <w:marBottom w:val="0"/>
      <w:divBdr>
        <w:top w:val="none" w:sz="0" w:space="0" w:color="auto"/>
        <w:left w:val="none" w:sz="0" w:space="0" w:color="auto"/>
        <w:bottom w:val="none" w:sz="0" w:space="0" w:color="auto"/>
        <w:right w:val="none" w:sz="0" w:space="0" w:color="auto"/>
      </w:divBdr>
    </w:div>
    <w:div w:id="1495221084">
      <w:bodyDiv w:val="1"/>
      <w:marLeft w:val="0"/>
      <w:marRight w:val="0"/>
      <w:marTop w:val="0"/>
      <w:marBottom w:val="0"/>
      <w:divBdr>
        <w:top w:val="none" w:sz="0" w:space="0" w:color="auto"/>
        <w:left w:val="none" w:sz="0" w:space="0" w:color="auto"/>
        <w:bottom w:val="none" w:sz="0" w:space="0" w:color="auto"/>
        <w:right w:val="none" w:sz="0" w:space="0" w:color="auto"/>
      </w:divBdr>
    </w:div>
    <w:div w:id="1506746662">
      <w:bodyDiv w:val="1"/>
      <w:marLeft w:val="0"/>
      <w:marRight w:val="0"/>
      <w:marTop w:val="0"/>
      <w:marBottom w:val="0"/>
      <w:divBdr>
        <w:top w:val="none" w:sz="0" w:space="0" w:color="auto"/>
        <w:left w:val="none" w:sz="0" w:space="0" w:color="auto"/>
        <w:bottom w:val="none" w:sz="0" w:space="0" w:color="auto"/>
        <w:right w:val="none" w:sz="0" w:space="0" w:color="auto"/>
      </w:divBdr>
    </w:div>
    <w:div w:id="1532572527">
      <w:bodyDiv w:val="1"/>
      <w:marLeft w:val="0"/>
      <w:marRight w:val="0"/>
      <w:marTop w:val="0"/>
      <w:marBottom w:val="0"/>
      <w:divBdr>
        <w:top w:val="none" w:sz="0" w:space="0" w:color="auto"/>
        <w:left w:val="none" w:sz="0" w:space="0" w:color="auto"/>
        <w:bottom w:val="none" w:sz="0" w:space="0" w:color="auto"/>
        <w:right w:val="none" w:sz="0" w:space="0" w:color="auto"/>
      </w:divBdr>
    </w:div>
    <w:div w:id="1567566528">
      <w:bodyDiv w:val="1"/>
      <w:marLeft w:val="0"/>
      <w:marRight w:val="0"/>
      <w:marTop w:val="0"/>
      <w:marBottom w:val="0"/>
      <w:divBdr>
        <w:top w:val="none" w:sz="0" w:space="0" w:color="auto"/>
        <w:left w:val="none" w:sz="0" w:space="0" w:color="auto"/>
        <w:bottom w:val="none" w:sz="0" w:space="0" w:color="auto"/>
        <w:right w:val="none" w:sz="0" w:space="0" w:color="auto"/>
      </w:divBdr>
    </w:div>
    <w:div w:id="1589189204">
      <w:bodyDiv w:val="1"/>
      <w:marLeft w:val="0"/>
      <w:marRight w:val="0"/>
      <w:marTop w:val="0"/>
      <w:marBottom w:val="0"/>
      <w:divBdr>
        <w:top w:val="none" w:sz="0" w:space="0" w:color="auto"/>
        <w:left w:val="none" w:sz="0" w:space="0" w:color="auto"/>
        <w:bottom w:val="none" w:sz="0" w:space="0" w:color="auto"/>
        <w:right w:val="none" w:sz="0" w:space="0" w:color="auto"/>
      </w:divBdr>
    </w:div>
    <w:div w:id="1595822736">
      <w:bodyDiv w:val="1"/>
      <w:marLeft w:val="0"/>
      <w:marRight w:val="0"/>
      <w:marTop w:val="0"/>
      <w:marBottom w:val="0"/>
      <w:divBdr>
        <w:top w:val="none" w:sz="0" w:space="0" w:color="auto"/>
        <w:left w:val="none" w:sz="0" w:space="0" w:color="auto"/>
        <w:bottom w:val="none" w:sz="0" w:space="0" w:color="auto"/>
        <w:right w:val="none" w:sz="0" w:space="0" w:color="auto"/>
      </w:divBdr>
    </w:div>
    <w:div w:id="1667783890">
      <w:bodyDiv w:val="1"/>
      <w:marLeft w:val="0"/>
      <w:marRight w:val="0"/>
      <w:marTop w:val="0"/>
      <w:marBottom w:val="0"/>
      <w:divBdr>
        <w:top w:val="none" w:sz="0" w:space="0" w:color="auto"/>
        <w:left w:val="none" w:sz="0" w:space="0" w:color="auto"/>
        <w:bottom w:val="none" w:sz="0" w:space="0" w:color="auto"/>
        <w:right w:val="none" w:sz="0" w:space="0" w:color="auto"/>
      </w:divBdr>
    </w:div>
    <w:div w:id="1679577844">
      <w:bodyDiv w:val="1"/>
      <w:marLeft w:val="0"/>
      <w:marRight w:val="0"/>
      <w:marTop w:val="0"/>
      <w:marBottom w:val="0"/>
      <w:divBdr>
        <w:top w:val="none" w:sz="0" w:space="0" w:color="auto"/>
        <w:left w:val="none" w:sz="0" w:space="0" w:color="auto"/>
        <w:bottom w:val="none" w:sz="0" w:space="0" w:color="auto"/>
        <w:right w:val="none" w:sz="0" w:space="0" w:color="auto"/>
      </w:divBdr>
    </w:div>
    <w:div w:id="1679692825">
      <w:bodyDiv w:val="1"/>
      <w:marLeft w:val="0"/>
      <w:marRight w:val="0"/>
      <w:marTop w:val="0"/>
      <w:marBottom w:val="0"/>
      <w:divBdr>
        <w:top w:val="none" w:sz="0" w:space="0" w:color="auto"/>
        <w:left w:val="none" w:sz="0" w:space="0" w:color="auto"/>
        <w:bottom w:val="none" w:sz="0" w:space="0" w:color="auto"/>
        <w:right w:val="none" w:sz="0" w:space="0" w:color="auto"/>
      </w:divBdr>
    </w:div>
    <w:div w:id="1681661613">
      <w:bodyDiv w:val="1"/>
      <w:marLeft w:val="0"/>
      <w:marRight w:val="0"/>
      <w:marTop w:val="0"/>
      <w:marBottom w:val="0"/>
      <w:divBdr>
        <w:top w:val="none" w:sz="0" w:space="0" w:color="auto"/>
        <w:left w:val="none" w:sz="0" w:space="0" w:color="auto"/>
        <w:bottom w:val="none" w:sz="0" w:space="0" w:color="auto"/>
        <w:right w:val="none" w:sz="0" w:space="0" w:color="auto"/>
      </w:divBdr>
    </w:div>
    <w:div w:id="1720980751">
      <w:bodyDiv w:val="1"/>
      <w:marLeft w:val="0"/>
      <w:marRight w:val="0"/>
      <w:marTop w:val="0"/>
      <w:marBottom w:val="0"/>
      <w:divBdr>
        <w:top w:val="none" w:sz="0" w:space="0" w:color="auto"/>
        <w:left w:val="none" w:sz="0" w:space="0" w:color="auto"/>
        <w:bottom w:val="none" w:sz="0" w:space="0" w:color="auto"/>
        <w:right w:val="none" w:sz="0" w:space="0" w:color="auto"/>
      </w:divBdr>
    </w:div>
    <w:div w:id="1791509595">
      <w:bodyDiv w:val="1"/>
      <w:marLeft w:val="0"/>
      <w:marRight w:val="0"/>
      <w:marTop w:val="0"/>
      <w:marBottom w:val="0"/>
      <w:divBdr>
        <w:top w:val="none" w:sz="0" w:space="0" w:color="auto"/>
        <w:left w:val="none" w:sz="0" w:space="0" w:color="auto"/>
        <w:bottom w:val="none" w:sz="0" w:space="0" w:color="auto"/>
        <w:right w:val="none" w:sz="0" w:space="0" w:color="auto"/>
      </w:divBdr>
    </w:div>
    <w:div w:id="1880506992">
      <w:bodyDiv w:val="1"/>
      <w:marLeft w:val="0"/>
      <w:marRight w:val="0"/>
      <w:marTop w:val="0"/>
      <w:marBottom w:val="0"/>
      <w:divBdr>
        <w:top w:val="none" w:sz="0" w:space="0" w:color="auto"/>
        <w:left w:val="none" w:sz="0" w:space="0" w:color="auto"/>
        <w:bottom w:val="none" w:sz="0" w:space="0" w:color="auto"/>
        <w:right w:val="none" w:sz="0" w:space="0" w:color="auto"/>
      </w:divBdr>
    </w:div>
    <w:div w:id="1891651188">
      <w:bodyDiv w:val="1"/>
      <w:marLeft w:val="0"/>
      <w:marRight w:val="0"/>
      <w:marTop w:val="0"/>
      <w:marBottom w:val="0"/>
      <w:divBdr>
        <w:top w:val="none" w:sz="0" w:space="0" w:color="auto"/>
        <w:left w:val="none" w:sz="0" w:space="0" w:color="auto"/>
        <w:bottom w:val="none" w:sz="0" w:space="0" w:color="auto"/>
        <w:right w:val="none" w:sz="0" w:space="0" w:color="auto"/>
      </w:divBdr>
    </w:div>
    <w:div w:id="1900289012">
      <w:bodyDiv w:val="1"/>
      <w:marLeft w:val="0"/>
      <w:marRight w:val="0"/>
      <w:marTop w:val="0"/>
      <w:marBottom w:val="0"/>
      <w:divBdr>
        <w:top w:val="none" w:sz="0" w:space="0" w:color="auto"/>
        <w:left w:val="none" w:sz="0" w:space="0" w:color="auto"/>
        <w:bottom w:val="none" w:sz="0" w:space="0" w:color="auto"/>
        <w:right w:val="none" w:sz="0" w:space="0" w:color="auto"/>
      </w:divBdr>
    </w:div>
    <w:div w:id="1922525775">
      <w:bodyDiv w:val="1"/>
      <w:marLeft w:val="0"/>
      <w:marRight w:val="0"/>
      <w:marTop w:val="0"/>
      <w:marBottom w:val="0"/>
      <w:divBdr>
        <w:top w:val="none" w:sz="0" w:space="0" w:color="auto"/>
        <w:left w:val="none" w:sz="0" w:space="0" w:color="auto"/>
        <w:bottom w:val="none" w:sz="0" w:space="0" w:color="auto"/>
        <w:right w:val="none" w:sz="0" w:space="0" w:color="auto"/>
      </w:divBdr>
    </w:div>
    <w:div w:id="1957370713">
      <w:bodyDiv w:val="1"/>
      <w:marLeft w:val="0"/>
      <w:marRight w:val="0"/>
      <w:marTop w:val="0"/>
      <w:marBottom w:val="0"/>
      <w:divBdr>
        <w:top w:val="none" w:sz="0" w:space="0" w:color="auto"/>
        <w:left w:val="none" w:sz="0" w:space="0" w:color="auto"/>
        <w:bottom w:val="none" w:sz="0" w:space="0" w:color="auto"/>
        <w:right w:val="none" w:sz="0" w:space="0" w:color="auto"/>
      </w:divBdr>
    </w:div>
    <w:div w:id="1990789406">
      <w:bodyDiv w:val="1"/>
      <w:marLeft w:val="0"/>
      <w:marRight w:val="0"/>
      <w:marTop w:val="0"/>
      <w:marBottom w:val="0"/>
      <w:divBdr>
        <w:top w:val="none" w:sz="0" w:space="0" w:color="auto"/>
        <w:left w:val="none" w:sz="0" w:space="0" w:color="auto"/>
        <w:bottom w:val="none" w:sz="0" w:space="0" w:color="auto"/>
        <w:right w:val="none" w:sz="0" w:space="0" w:color="auto"/>
      </w:divBdr>
    </w:div>
    <w:div w:id="2016418676">
      <w:bodyDiv w:val="1"/>
      <w:marLeft w:val="0"/>
      <w:marRight w:val="0"/>
      <w:marTop w:val="0"/>
      <w:marBottom w:val="0"/>
      <w:divBdr>
        <w:top w:val="none" w:sz="0" w:space="0" w:color="auto"/>
        <w:left w:val="none" w:sz="0" w:space="0" w:color="auto"/>
        <w:bottom w:val="none" w:sz="0" w:space="0" w:color="auto"/>
        <w:right w:val="none" w:sz="0" w:space="0" w:color="auto"/>
      </w:divBdr>
    </w:div>
    <w:div w:id="2059744702">
      <w:bodyDiv w:val="1"/>
      <w:marLeft w:val="0"/>
      <w:marRight w:val="0"/>
      <w:marTop w:val="0"/>
      <w:marBottom w:val="0"/>
      <w:divBdr>
        <w:top w:val="none" w:sz="0" w:space="0" w:color="auto"/>
        <w:left w:val="none" w:sz="0" w:space="0" w:color="auto"/>
        <w:bottom w:val="none" w:sz="0" w:space="0" w:color="auto"/>
        <w:right w:val="none" w:sz="0" w:space="0" w:color="auto"/>
      </w:divBdr>
    </w:div>
    <w:div w:id="2131514697">
      <w:bodyDiv w:val="1"/>
      <w:marLeft w:val="0"/>
      <w:marRight w:val="0"/>
      <w:marTop w:val="0"/>
      <w:marBottom w:val="0"/>
      <w:divBdr>
        <w:top w:val="none" w:sz="0" w:space="0" w:color="auto"/>
        <w:left w:val="none" w:sz="0" w:space="0" w:color="auto"/>
        <w:bottom w:val="none" w:sz="0" w:space="0" w:color="auto"/>
        <w:right w:val="none" w:sz="0" w:space="0" w:color="auto"/>
      </w:divBdr>
    </w:div>
    <w:div w:id="2137793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dx.doi.org/10.1016/S0048-9697(02)00058-X" TargetMode="External"/><Relationship Id="rId18" Type="http://schemas.openxmlformats.org/officeDocument/2006/relationships/image" Target="media/image2.tiff"/><Relationship Id="rId26" Type="http://schemas.openxmlformats.org/officeDocument/2006/relationships/image" Target="media/image10.tiff"/><Relationship Id="rId39" Type="http://schemas.openxmlformats.org/officeDocument/2006/relationships/image" Target="media/image23.tiff"/><Relationship Id="rId3" Type="http://schemas.openxmlformats.org/officeDocument/2006/relationships/numbering" Target="numbering.xml"/><Relationship Id="rId21" Type="http://schemas.openxmlformats.org/officeDocument/2006/relationships/image" Target="media/image5.png"/><Relationship Id="rId34" Type="http://schemas.openxmlformats.org/officeDocument/2006/relationships/image" Target="media/image18.tiff"/><Relationship Id="rId42"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dx.doi.org/10.1016/j.jhydrol.2014.09.086" TargetMode="External"/><Relationship Id="rId17" Type="http://schemas.openxmlformats.org/officeDocument/2006/relationships/hyperlink" Target="http://dx.doi.org/10.1016/0167-8809(96)01052-3" TargetMode="External"/><Relationship Id="rId25" Type="http://schemas.openxmlformats.org/officeDocument/2006/relationships/image" Target="media/image9.tiff"/><Relationship Id="rId33" Type="http://schemas.openxmlformats.org/officeDocument/2006/relationships/image" Target="media/image17.tiff"/><Relationship Id="rId38" Type="http://schemas.openxmlformats.org/officeDocument/2006/relationships/image" Target="media/image22.tiff"/><Relationship Id="rId2" Type="http://schemas.openxmlformats.org/officeDocument/2006/relationships/customXml" Target="../customXml/item1.xml"/><Relationship Id="rId16" Type="http://schemas.openxmlformats.org/officeDocument/2006/relationships/hyperlink" Target="http://www.teagasc.ie/forestry/advice/nutrient_requirements.asp" TargetMode="External"/><Relationship Id="rId20" Type="http://schemas.openxmlformats.org/officeDocument/2006/relationships/image" Target="media/image4.png"/><Relationship Id="rId29" Type="http://schemas.openxmlformats.org/officeDocument/2006/relationships/image" Target="media/image13.tiff"/><Relationship Id="rId41" Type="http://schemas.openxmlformats.org/officeDocument/2006/relationships/image" Target="media/image25.tiff"/><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hyperlink" Target="http://dx.doi.org/10.1016/S0022-1694(99)00206-1" TargetMode="External"/><Relationship Id="rId24" Type="http://schemas.openxmlformats.org/officeDocument/2006/relationships/image" Target="media/image8.tiff"/><Relationship Id="rId32" Type="http://schemas.openxmlformats.org/officeDocument/2006/relationships/image" Target="media/image16.tiff"/><Relationship Id="rId37" Type="http://schemas.openxmlformats.org/officeDocument/2006/relationships/image" Target="media/image21.tiff"/><Relationship Id="rId40" Type="http://schemas.openxmlformats.org/officeDocument/2006/relationships/image" Target="media/image24.tiff"/><Relationship Id="rId5" Type="http://schemas.microsoft.com/office/2007/relationships/stylesWithEffects" Target="stylesWithEffects.xml"/><Relationship Id="rId15" Type="http://schemas.openxmlformats.org/officeDocument/2006/relationships/hyperlink" Target="http://dx.doi.org/10.1016/j.scitotenv.2012.07.094" TargetMode="External"/><Relationship Id="rId23" Type="http://schemas.openxmlformats.org/officeDocument/2006/relationships/image" Target="media/image7.tiff"/><Relationship Id="rId28" Type="http://schemas.openxmlformats.org/officeDocument/2006/relationships/image" Target="media/image12.png"/><Relationship Id="rId36" Type="http://schemas.openxmlformats.org/officeDocument/2006/relationships/image" Target="media/image20.tiff"/><Relationship Id="rId10" Type="http://schemas.openxmlformats.org/officeDocument/2006/relationships/hyperlink" Target="http://dx.doi.org/10.1016/j.jhydrol.2013.07.002" TargetMode="External"/><Relationship Id="rId19" Type="http://schemas.openxmlformats.org/officeDocument/2006/relationships/image" Target="media/image3.png"/><Relationship Id="rId31" Type="http://schemas.openxmlformats.org/officeDocument/2006/relationships/image" Target="media/image15.tiff"/><Relationship Id="rId44" Type="http://schemas.microsoft.com/office/2011/relationships/commentsExtended" Target="commentsExtended.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dx.doi.org/10.1016/0022-1694(92)90009-K" TargetMode="External"/><Relationship Id="rId22" Type="http://schemas.openxmlformats.org/officeDocument/2006/relationships/image" Target="media/image6.tiff"/><Relationship Id="rId27" Type="http://schemas.openxmlformats.org/officeDocument/2006/relationships/image" Target="media/image11.tiff"/><Relationship Id="rId30" Type="http://schemas.openxmlformats.org/officeDocument/2006/relationships/image" Target="media/image14.tiff"/><Relationship Id="rId35" Type="http://schemas.openxmlformats.org/officeDocument/2006/relationships/image" Target="media/image19.tiff"/><Relationship Id="rId43"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6954AC-D2A0-410F-9260-3EBD18F978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38</Pages>
  <Words>19621</Words>
  <Characters>111845</Characters>
  <Application>Microsoft Office Word</Application>
  <DocSecurity>0</DocSecurity>
  <Lines>932</Lines>
  <Paragraphs>262</Paragraphs>
  <ScaleCrop>false</ScaleCrop>
  <HeadingPairs>
    <vt:vector size="2" baseType="variant">
      <vt:variant>
        <vt:lpstr>Title</vt:lpstr>
      </vt:variant>
      <vt:variant>
        <vt:i4>1</vt:i4>
      </vt:variant>
    </vt:vector>
  </HeadingPairs>
  <TitlesOfParts>
    <vt:vector size="1" baseType="lpstr">
      <vt:lpstr>Site and Soil Properties</vt:lpstr>
    </vt:vector>
  </TitlesOfParts>
  <Company>TED</Company>
  <LinksUpToDate>false</LinksUpToDate>
  <CharactersWithSpaces>131204</CharactersWithSpaces>
  <SharedDoc>false</SharedDoc>
  <HLinks>
    <vt:vector size="798" baseType="variant">
      <vt:variant>
        <vt:i4>2555958</vt:i4>
      </vt:variant>
      <vt:variant>
        <vt:i4>1170</vt:i4>
      </vt:variant>
      <vt:variant>
        <vt:i4>0</vt:i4>
      </vt:variant>
      <vt:variant>
        <vt:i4>5</vt:i4>
      </vt:variant>
      <vt:variant>
        <vt:lpwstr>http://aughty.org/heritage.htm</vt:lpwstr>
      </vt:variant>
      <vt:variant>
        <vt:lpwstr/>
      </vt:variant>
      <vt:variant>
        <vt:i4>4587539</vt:i4>
      </vt:variant>
      <vt:variant>
        <vt:i4>1167</vt:i4>
      </vt:variant>
      <vt:variant>
        <vt:i4>0</vt:i4>
      </vt:variant>
      <vt:variant>
        <vt:i4>5</vt:i4>
      </vt:variant>
      <vt:variant>
        <vt:lpwstr>http://www.gsi.ie/Mapping.htm</vt:lpwstr>
      </vt:variant>
      <vt:variant>
        <vt:lpwstr/>
      </vt:variant>
      <vt:variant>
        <vt:i4>1376336</vt:i4>
      </vt:variant>
      <vt:variant>
        <vt:i4>1164</vt:i4>
      </vt:variant>
      <vt:variant>
        <vt:i4>0</vt:i4>
      </vt:variant>
      <vt:variant>
        <vt:i4>5</vt:i4>
      </vt:variant>
      <vt:variant>
        <vt:lpwstr>http://www.toolkit.net.au/ihacres</vt:lpwstr>
      </vt:variant>
      <vt:variant>
        <vt:lpwstr/>
      </vt:variant>
      <vt:variant>
        <vt:i4>1245238</vt:i4>
      </vt:variant>
      <vt:variant>
        <vt:i4>782</vt:i4>
      </vt:variant>
      <vt:variant>
        <vt:i4>0</vt:i4>
      </vt:variant>
      <vt:variant>
        <vt:i4>5</vt:i4>
      </vt:variant>
      <vt:variant>
        <vt:lpwstr/>
      </vt:variant>
      <vt:variant>
        <vt:lpwstr>_Toc243037471</vt:lpwstr>
      </vt:variant>
      <vt:variant>
        <vt:i4>1245238</vt:i4>
      </vt:variant>
      <vt:variant>
        <vt:i4>776</vt:i4>
      </vt:variant>
      <vt:variant>
        <vt:i4>0</vt:i4>
      </vt:variant>
      <vt:variant>
        <vt:i4>5</vt:i4>
      </vt:variant>
      <vt:variant>
        <vt:lpwstr/>
      </vt:variant>
      <vt:variant>
        <vt:lpwstr>_Toc243037470</vt:lpwstr>
      </vt:variant>
      <vt:variant>
        <vt:i4>1179702</vt:i4>
      </vt:variant>
      <vt:variant>
        <vt:i4>770</vt:i4>
      </vt:variant>
      <vt:variant>
        <vt:i4>0</vt:i4>
      </vt:variant>
      <vt:variant>
        <vt:i4>5</vt:i4>
      </vt:variant>
      <vt:variant>
        <vt:lpwstr/>
      </vt:variant>
      <vt:variant>
        <vt:lpwstr>_Toc243037469</vt:lpwstr>
      </vt:variant>
      <vt:variant>
        <vt:i4>1179702</vt:i4>
      </vt:variant>
      <vt:variant>
        <vt:i4>764</vt:i4>
      </vt:variant>
      <vt:variant>
        <vt:i4>0</vt:i4>
      </vt:variant>
      <vt:variant>
        <vt:i4>5</vt:i4>
      </vt:variant>
      <vt:variant>
        <vt:lpwstr/>
      </vt:variant>
      <vt:variant>
        <vt:lpwstr>_Toc243037468</vt:lpwstr>
      </vt:variant>
      <vt:variant>
        <vt:i4>1179702</vt:i4>
      </vt:variant>
      <vt:variant>
        <vt:i4>758</vt:i4>
      </vt:variant>
      <vt:variant>
        <vt:i4>0</vt:i4>
      </vt:variant>
      <vt:variant>
        <vt:i4>5</vt:i4>
      </vt:variant>
      <vt:variant>
        <vt:lpwstr/>
      </vt:variant>
      <vt:variant>
        <vt:lpwstr>_Toc243037467</vt:lpwstr>
      </vt:variant>
      <vt:variant>
        <vt:i4>1179702</vt:i4>
      </vt:variant>
      <vt:variant>
        <vt:i4>752</vt:i4>
      </vt:variant>
      <vt:variant>
        <vt:i4>0</vt:i4>
      </vt:variant>
      <vt:variant>
        <vt:i4>5</vt:i4>
      </vt:variant>
      <vt:variant>
        <vt:lpwstr/>
      </vt:variant>
      <vt:variant>
        <vt:lpwstr>_Toc243037466</vt:lpwstr>
      </vt:variant>
      <vt:variant>
        <vt:i4>1179702</vt:i4>
      </vt:variant>
      <vt:variant>
        <vt:i4>746</vt:i4>
      </vt:variant>
      <vt:variant>
        <vt:i4>0</vt:i4>
      </vt:variant>
      <vt:variant>
        <vt:i4>5</vt:i4>
      </vt:variant>
      <vt:variant>
        <vt:lpwstr/>
      </vt:variant>
      <vt:variant>
        <vt:lpwstr>_Toc243037465</vt:lpwstr>
      </vt:variant>
      <vt:variant>
        <vt:i4>1179702</vt:i4>
      </vt:variant>
      <vt:variant>
        <vt:i4>740</vt:i4>
      </vt:variant>
      <vt:variant>
        <vt:i4>0</vt:i4>
      </vt:variant>
      <vt:variant>
        <vt:i4>5</vt:i4>
      </vt:variant>
      <vt:variant>
        <vt:lpwstr/>
      </vt:variant>
      <vt:variant>
        <vt:lpwstr>_Toc243037464</vt:lpwstr>
      </vt:variant>
      <vt:variant>
        <vt:i4>1179702</vt:i4>
      </vt:variant>
      <vt:variant>
        <vt:i4>734</vt:i4>
      </vt:variant>
      <vt:variant>
        <vt:i4>0</vt:i4>
      </vt:variant>
      <vt:variant>
        <vt:i4>5</vt:i4>
      </vt:variant>
      <vt:variant>
        <vt:lpwstr/>
      </vt:variant>
      <vt:variant>
        <vt:lpwstr>_Toc243037463</vt:lpwstr>
      </vt:variant>
      <vt:variant>
        <vt:i4>1179702</vt:i4>
      </vt:variant>
      <vt:variant>
        <vt:i4>725</vt:i4>
      </vt:variant>
      <vt:variant>
        <vt:i4>0</vt:i4>
      </vt:variant>
      <vt:variant>
        <vt:i4>5</vt:i4>
      </vt:variant>
      <vt:variant>
        <vt:lpwstr/>
      </vt:variant>
      <vt:variant>
        <vt:lpwstr>_Toc243037462</vt:lpwstr>
      </vt:variant>
      <vt:variant>
        <vt:i4>1179702</vt:i4>
      </vt:variant>
      <vt:variant>
        <vt:i4>719</vt:i4>
      </vt:variant>
      <vt:variant>
        <vt:i4>0</vt:i4>
      </vt:variant>
      <vt:variant>
        <vt:i4>5</vt:i4>
      </vt:variant>
      <vt:variant>
        <vt:lpwstr/>
      </vt:variant>
      <vt:variant>
        <vt:lpwstr>_Toc243037461</vt:lpwstr>
      </vt:variant>
      <vt:variant>
        <vt:i4>1179702</vt:i4>
      </vt:variant>
      <vt:variant>
        <vt:i4>713</vt:i4>
      </vt:variant>
      <vt:variant>
        <vt:i4>0</vt:i4>
      </vt:variant>
      <vt:variant>
        <vt:i4>5</vt:i4>
      </vt:variant>
      <vt:variant>
        <vt:lpwstr/>
      </vt:variant>
      <vt:variant>
        <vt:lpwstr>_Toc243037460</vt:lpwstr>
      </vt:variant>
      <vt:variant>
        <vt:i4>1114166</vt:i4>
      </vt:variant>
      <vt:variant>
        <vt:i4>707</vt:i4>
      </vt:variant>
      <vt:variant>
        <vt:i4>0</vt:i4>
      </vt:variant>
      <vt:variant>
        <vt:i4>5</vt:i4>
      </vt:variant>
      <vt:variant>
        <vt:lpwstr/>
      </vt:variant>
      <vt:variant>
        <vt:lpwstr>_Toc243037459</vt:lpwstr>
      </vt:variant>
      <vt:variant>
        <vt:i4>1114166</vt:i4>
      </vt:variant>
      <vt:variant>
        <vt:i4>701</vt:i4>
      </vt:variant>
      <vt:variant>
        <vt:i4>0</vt:i4>
      </vt:variant>
      <vt:variant>
        <vt:i4>5</vt:i4>
      </vt:variant>
      <vt:variant>
        <vt:lpwstr/>
      </vt:variant>
      <vt:variant>
        <vt:lpwstr>_Toc243037458</vt:lpwstr>
      </vt:variant>
      <vt:variant>
        <vt:i4>1114166</vt:i4>
      </vt:variant>
      <vt:variant>
        <vt:i4>695</vt:i4>
      </vt:variant>
      <vt:variant>
        <vt:i4>0</vt:i4>
      </vt:variant>
      <vt:variant>
        <vt:i4>5</vt:i4>
      </vt:variant>
      <vt:variant>
        <vt:lpwstr/>
      </vt:variant>
      <vt:variant>
        <vt:lpwstr>_Toc243037457</vt:lpwstr>
      </vt:variant>
      <vt:variant>
        <vt:i4>1114166</vt:i4>
      </vt:variant>
      <vt:variant>
        <vt:i4>689</vt:i4>
      </vt:variant>
      <vt:variant>
        <vt:i4>0</vt:i4>
      </vt:variant>
      <vt:variant>
        <vt:i4>5</vt:i4>
      </vt:variant>
      <vt:variant>
        <vt:lpwstr/>
      </vt:variant>
      <vt:variant>
        <vt:lpwstr>_Toc243037456</vt:lpwstr>
      </vt:variant>
      <vt:variant>
        <vt:i4>1114166</vt:i4>
      </vt:variant>
      <vt:variant>
        <vt:i4>683</vt:i4>
      </vt:variant>
      <vt:variant>
        <vt:i4>0</vt:i4>
      </vt:variant>
      <vt:variant>
        <vt:i4>5</vt:i4>
      </vt:variant>
      <vt:variant>
        <vt:lpwstr/>
      </vt:variant>
      <vt:variant>
        <vt:lpwstr>_Toc243037455</vt:lpwstr>
      </vt:variant>
      <vt:variant>
        <vt:i4>1114166</vt:i4>
      </vt:variant>
      <vt:variant>
        <vt:i4>677</vt:i4>
      </vt:variant>
      <vt:variant>
        <vt:i4>0</vt:i4>
      </vt:variant>
      <vt:variant>
        <vt:i4>5</vt:i4>
      </vt:variant>
      <vt:variant>
        <vt:lpwstr/>
      </vt:variant>
      <vt:variant>
        <vt:lpwstr>_Toc243037454</vt:lpwstr>
      </vt:variant>
      <vt:variant>
        <vt:i4>1114166</vt:i4>
      </vt:variant>
      <vt:variant>
        <vt:i4>671</vt:i4>
      </vt:variant>
      <vt:variant>
        <vt:i4>0</vt:i4>
      </vt:variant>
      <vt:variant>
        <vt:i4>5</vt:i4>
      </vt:variant>
      <vt:variant>
        <vt:lpwstr/>
      </vt:variant>
      <vt:variant>
        <vt:lpwstr>_Toc243037453</vt:lpwstr>
      </vt:variant>
      <vt:variant>
        <vt:i4>1114166</vt:i4>
      </vt:variant>
      <vt:variant>
        <vt:i4>665</vt:i4>
      </vt:variant>
      <vt:variant>
        <vt:i4>0</vt:i4>
      </vt:variant>
      <vt:variant>
        <vt:i4>5</vt:i4>
      </vt:variant>
      <vt:variant>
        <vt:lpwstr/>
      </vt:variant>
      <vt:variant>
        <vt:lpwstr>_Toc243037452</vt:lpwstr>
      </vt:variant>
      <vt:variant>
        <vt:i4>1114166</vt:i4>
      </vt:variant>
      <vt:variant>
        <vt:i4>659</vt:i4>
      </vt:variant>
      <vt:variant>
        <vt:i4>0</vt:i4>
      </vt:variant>
      <vt:variant>
        <vt:i4>5</vt:i4>
      </vt:variant>
      <vt:variant>
        <vt:lpwstr/>
      </vt:variant>
      <vt:variant>
        <vt:lpwstr>_Toc243037451</vt:lpwstr>
      </vt:variant>
      <vt:variant>
        <vt:i4>1114166</vt:i4>
      </vt:variant>
      <vt:variant>
        <vt:i4>653</vt:i4>
      </vt:variant>
      <vt:variant>
        <vt:i4>0</vt:i4>
      </vt:variant>
      <vt:variant>
        <vt:i4>5</vt:i4>
      </vt:variant>
      <vt:variant>
        <vt:lpwstr/>
      </vt:variant>
      <vt:variant>
        <vt:lpwstr>_Toc243037450</vt:lpwstr>
      </vt:variant>
      <vt:variant>
        <vt:i4>1048630</vt:i4>
      </vt:variant>
      <vt:variant>
        <vt:i4>647</vt:i4>
      </vt:variant>
      <vt:variant>
        <vt:i4>0</vt:i4>
      </vt:variant>
      <vt:variant>
        <vt:i4>5</vt:i4>
      </vt:variant>
      <vt:variant>
        <vt:lpwstr/>
      </vt:variant>
      <vt:variant>
        <vt:lpwstr>_Toc243037449</vt:lpwstr>
      </vt:variant>
      <vt:variant>
        <vt:i4>1048630</vt:i4>
      </vt:variant>
      <vt:variant>
        <vt:i4>641</vt:i4>
      </vt:variant>
      <vt:variant>
        <vt:i4>0</vt:i4>
      </vt:variant>
      <vt:variant>
        <vt:i4>5</vt:i4>
      </vt:variant>
      <vt:variant>
        <vt:lpwstr/>
      </vt:variant>
      <vt:variant>
        <vt:lpwstr>_Toc243037448</vt:lpwstr>
      </vt:variant>
      <vt:variant>
        <vt:i4>1048630</vt:i4>
      </vt:variant>
      <vt:variant>
        <vt:i4>635</vt:i4>
      </vt:variant>
      <vt:variant>
        <vt:i4>0</vt:i4>
      </vt:variant>
      <vt:variant>
        <vt:i4>5</vt:i4>
      </vt:variant>
      <vt:variant>
        <vt:lpwstr/>
      </vt:variant>
      <vt:variant>
        <vt:lpwstr>_Toc243037447</vt:lpwstr>
      </vt:variant>
      <vt:variant>
        <vt:i4>1048630</vt:i4>
      </vt:variant>
      <vt:variant>
        <vt:i4>629</vt:i4>
      </vt:variant>
      <vt:variant>
        <vt:i4>0</vt:i4>
      </vt:variant>
      <vt:variant>
        <vt:i4>5</vt:i4>
      </vt:variant>
      <vt:variant>
        <vt:lpwstr/>
      </vt:variant>
      <vt:variant>
        <vt:lpwstr>_Toc243037446</vt:lpwstr>
      </vt:variant>
      <vt:variant>
        <vt:i4>1048630</vt:i4>
      </vt:variant>
      <vt:variant>
        <vt:i4>623</vt:i4>
      </vt:variant>
      <vt:variant>
        <vt:i4>0</vt:i4>
      </vt:variant>
      <vt:variant>
        <vt:i4>5</vt:i4>
      </vt:variant>
      <vt:variant>
        <vt:lpwstr/>
      </vt:variant>
      <vt:variant>
        <vt:lpwstr>_Toc243037445</vt:lpwstr>
      </vt:variant>
      <vt:variant>
        <vt:i4>1048630</vt:i4>
      </vt:variant>
      <vt:variant>
        <vt:i4>617</vt:i4>
      </vt:variant>
      <vt:variant>
        <vt:i4>0</vt:i4>
      </vt:variant>
      <vt:variant>
        <vt:i4>5</vt:i4>
      </vt:variant>
      <vt:variant>
        <vt:lpwstr/>
      </vt:variant>
      <vt:variant>
        <vt:lpwstr>_Toc243037444</vt:lpwstr>
      </vt:variant>
      <vt:variant>
        <vt:i4>1048630</vt:i4>
      </vt:variant>
      <vt:variant>
        <vt:i4>611</vt:i4>
      </vt:variant>
      <vt:variant>
        <vt:i4>0</vt:i4>
      </vt:variant>
      <vt:variant>
        <vt:i4>5</vt:i4>
      </vt:variant>
      <vt:variant>
        <vt:lpwstr/>
      </vt:variant>
      <vt:variant>
        <vt:lpwstr>_Toc243037443</vt:lpwstr>
      </vt:variant>
      <vt:variant>
        <vt:i4>1048630</vt:i4>
      </vt:variant>
      <vt:variant>
        <vt:i4>605</vt:i4>
      </vt:variant>
      <vt:variant>
        <vt:i4>0</vt:i4>
      </vt:variant>
      <vt:variant>
        <vt:i4>5</vt:i4>
      </vt:variant>
      <vt:variant>
        <vt:lpwstr/>
      </vt:variant>
      <vt:variant>
        <vt:lpwstr>_Toc243037442</vt:lpwstr>
      </vt:variant>
      <vt:variant>
        <vt:i4>1048630</vt:i4>
      </vt:variant>
      <vt:variant>
        <vt:i4>599</vt:i4>
      </vt:variant>
      <vt:variant>
        <vt:i4>0</vt:i4>
      </vt:variant>
      <vt:variant>
        <vt:i4>5</vt:i4>
      </vt:variant>
      <vt:variant>
        <vt:lpwstr/>
      </vt:variant>
      <vt:variant>
        <vt:lpwstr>_Toc243037441</vt:lpwstr>
      </vt:variant>
      <vt:variant>
        <vt:i4>1048630</vt:i4>
      </vt:variant>
      <vt:variant>
        <vt:i4>593</vt:i4>
      </vt:variant>
      <vt:variant>
        <vt:i4>0</vt:i4>
      </vt:variant>
      <vt:variant>
        <vt:i4>5</vt:i4>
      </vt:variant>
      <vt:variant>
        <vt:lpwstr/>
      </vt:variant>
      <vt:variant>
        <vt:lpwstr>_Toc243037440</vt:lpwstr>
      </vt:variant>
      <vt:variant>
        <vt:i4>1507382</vt:i4>
      </vt:variant>
      <vt:variant>
        <vt:i4>587</vt:i4>
      </vt:variant>
      <vt:variant>
        <vt:i4>0</vt:i4>
      </vt:variant>
      <vt:variant>
        <vt:i4>5</vt:i4>
      </vt:variant>
      <vt:variant>
        <vt:lpwstr/>
      </vt:variant>
      <vt:variant>
        <vt:lpwstr>_Toc243037439</vt:lpwstr>
      </vt:variant>
      <vt:variant>
        <vt:i4>1507382</vt:i4>
      </vt:variant>
      <vt:variant>
        <vt:i4>581</vt:i4>
      </vt:variant>
      <vt:variant>
        <vt:i4>0</vt:i4>
      </vt:variant>
      <vt:variant>
        <vt:i4>5</vt:i4>
      </vt:variant>
      <vt:variant>
        <vt:lpwstr/>
      </vt:variant>
      <vt:variant>
        <vt:lpwstr>_Toc243037438</vt:lpwstr>
      </vt:variant>
      <vt:variant>
        <vt:i4>1507382</vt:i4>
      </vt:variant>
      <vt:variant>
        <vt:i4>575</vt:i4>
      </vt:variant>
      <vt:variant>
        <vt:i4>0</vt:i4>
      </vt:variant>
      <vt:variant>
        <vt:i4>5</vt:i4>
      </vt:variant>
      <vt:variant>
        <vt:lpwstr/>
      </vt:variant>
      <vt:variant>
        <vt:lpwstr>_Toc243037437</vt:lpwstr>
      </vt:variant>
      <vt:variant>
        <vt:i4>1507382</vt:i4>
      </vt:variant>
      <vt:variant>
        <vt:i4>569</vt:i4>
      </vt:variant>
      <vt:variant>
        <vt:i4>0</vt:i4>
      </vt:variant>
      <vt:variant>
        <vt:i4>5</vt:i4>
      </vt:variant>
      <vt:variant>
        <vt:lpwstr/>
      </vt:variant>
      <vt:variant>
        <vt:lpwstr>_Toc243037436</vt:lpwstr>
      </vt:variant>
      <vt:variant>
        <vt:i4>1507382</vt:i4>
      </vt:variant>
      <vt:variant>
        <vt:i4>563</vt:i4>
      </vt:variant>
      <vt:variant>
        <vt:i4>0</vt:i4>
      </vt:variant>
      <vt:variant>
        <vt:i4>5</vt:i4>
      </vt:variant>
      <vt:variant>
        <vt:lpwstr/>
      </vt:variant>
      <vt:variant>
        <vt:lpwstr>_Toc243037435</vt:lpwstr>
      </vt:variant>
      <vt:variant>
        <vt:i4>1507382</vt:i4>
      </vt:variant>
      <vt:variant>
        <vt:i4>557</vt:i4>
      </vt:variant>
      <vt:variant>
        <vt:i4>0</vt:i4>
      </vt:variant>
      <vt:variant>
        <vt:i4>5</vt:i4>
      </vt:variant>
      <vt:variant>
        <vt:lpwstr/>
      </vt:variant>
      <vt:variant>
        <vt:lpwstr>_Toc243037434</vt:lpwstr>
      </vt:variant>
      <vt:variant>
        <vt:i4>1507382</vt:i4>
      </vt:variant>
      <vt:variant>
        <vt:i4>551</vt:i4>
      </vt:variant>
      <vt:variant>
        <vt:i4>0</vt:i4>
      </vt:variant>
      <vt:variant>
        <vt:i4>5</vt:i4>
      </vt:variant>
      <vt:variant>
        <vt:lpwstr/>
      </vt:variant>
      <vt:variant>
        <vt:lpwstr>_Toc243037433</vt:lpwstr>
      </vt:variant>
      <vt:variant>
        <vt:i4>1507382</vt:i4>
      </vt:variant>
      <vt:variant>
        <vt:i4>545</vt:i4>
      </vt:variant>
      <vt:variant>
        <vt:i4>0</vt:i4>
      </vt:variant>
      <vt:variant>
        <vt:i4>5</vt:i4>
      </vt:variant>
      <vt:variant>
        <vt:lpwstr/>
      </vt:variant>
      <vt:variant>
        <vt:lpwstr>_Toc243037432</vt:lpwstr>
      </vt:variant>
      <vt:variant>
        <vt:i4>1507382</vt:i4>
      </vt:variant>
      <vt:variant>
        <vt:i4>539</vt:i4>
      </vt:variant>
      <vt:variant>
        <vt:i4>0</vt:i4>
      </vt:variant>
      <vt:variant>
        <vt:i4>5</vt:i4>
      </vt:variant>
      <vt:variant>
        <vt:lpwstr/>
      </vt:variant>
      <vt:variant>
        <vt:lpwstr>_Toc243037431</vt:lpwstr>
      </vt:variant>
      <vt:variant>
        <vt:i4>1507382</vt:i4>
      </vt:variant>
      <vt:variant>
        <vt:i4>533</vt:i4>
      </vt:variant>
      <vt:variant>
        <vt:i4>0</vt:i4>
      </vt:variant>
      <vt:variant>
        <vt:i4>5</vt:i4>
      </vt:variant>
      <vt:variant>
        <vt:lpwstr/>
      </vt:variant>
      <vt:variant>
        <vt:lpwstr>_Toc243037430</vt:lpwstr>
      </vt:variant>
      <vt:variant>
        <vt:i4>1441846</vt:i4>
      </vt:variant>
      <vt:variant>
        <vt:i4>527</vt:i4>
      </vt:variant>
      <vt:variant>
        <vt:i4>0</vt:i4>
      </vt:variant>
      <vt:variant>
        <vt:i4>5</vt:i4>
      </vt:variant>
      <vt:variant>
        <vt:lpwstr/>
      </vt:variant>
      <vt:variant>
        <vt:lpwstr>_Toc243037429</vt:lpwstr>
      </vt:variant>
      <vt:variant>
        <vt:i4>1441846</vt:i4>
      </vt:variant>
      <vt:variant>
        <vt:i4>521</vt:i4>
      </vt:variant>
      <vt:variant>
        <vt:i4>0</vt:i4>
      </vt:variant>
      <vt:variant>
        <vt:i4>5</vt:i4>
      </vt:variant>
      <vt:variant>
        <vt:lpwstr/>
      </vt:variant>
      <vt:variant>
        <vt:lpwstr>_Toc243037428</vt:lpwstr>
      </vt:variant>
      <vt:variant>
        <vt:i4>1441846</vt:i4>
      </vt:variant>
      <vt:variant>
        <vt:i4>515</vt:i4>
      </vt:variant>
      <vt:variant>
        <vt:i4>0</vt:i4>
      </vt:variant>
      <vt:variant>
        <vt:i4>5</vt:i4>
      </vt:variant>
      <vt:variant>
        <vt:lpwstr/>
      </vt:variant>
      <vt:variant>
        <vt:lpwstr>_Toc243037427</vt:lpwstr>
      </vt:variant>
      <vt:variant>
        <vt:i4>1441846</vt:i4>
      </vt:variant>
      <vt:variant>
        <vt:i4>509</vt:i4>
      </vt:variant>
      <vt:variant>
        <vt:i4>0</vt:i4>
      </vt:variant>
      <vt:variant>
        <vt:i4>5</vt:i4>
      </vt:variant>
      <vt:variant>
        <vt:lpwstr/>
      </vt:variant>
      <vt:variant>
        <vt:lpwstr>_Toc243037426</vt:lpwstr>
      </vt:variant>
      <vt:variant>
        <vt:i4>1441846</vt:i4>
      </vt:variant>
      <vt:variant>
        <vt:i4>503</vt:i4>
      </vt:variant>
      <vt:variant>
        <vt:i4>0</vt:i4>
      </vt:variant>
      <vt:variant>
        <vt:i4>5</vt:i4>
      </vt:variant>
      <vt:variant>
        <vt:lpwstr/>
      </vt:variant>
      <vt:variant>
        <vt:lpwstr>_Toc243037425</vt:lpwstr>
      </vt:variant>
      <vt:variant>
        <vt:i4>1441846</vt:i4>
      </vt:variant>
      <vt:variant>
        <vt:i4>497</vt:i4>
      </vt:variant>
      <vt:variant>
        <vt:i4>0</vt:i4>
      </vt:variant>
      <vt:variant>
        <vt:i4>5</vt:i4>
      </vt:variant>
      <vt:variant>
        <vt:lpwstr/>
      </vt:variant>
      <vt:variant>
        <vt:lpwstr>_Toc243037424</vt:lpwstr>
      </vt:variant>
      <vt:variant>
        <vt:i4>1441846</vt:i4>
      </vt:variant>
      <vt:variant>
        <vt:i4>491</vt:i4>
      </vt:variant>
      <vt:variant>
        <vt:i4>0</vt:i4>
      </vt:variant>
      <vt:variant>
        <vt:i4>5</vt:i4>
      </vt:variant>
      <vt:variant>
        <vt:lpwstr/>
      </vt:variant>
      <vt:variant>
        <vt:lpwstr>_Toc243037423</vt:lpwstr>
      </vt:variant>
      <vt:variant>
        <vt:i4>1441846</vt:i4>
      </vt:variant>
      <vt:variant>
        <vt:i4>485</vt:i4>
      </vt:variant>
      <vt:variant>
        <vt:i4>0</vt:i4>
      </vt:variant>
      <vt:variant>
        <vt:i4>5</vt:i4>
      </vt:variant>
      <vt:variant>
        <vt:lpwstr/>
      </vt:variant>
      <vt:variant>
        <vt:lpwstr>_Toc243037422</vt:lpwstr>
      </vt:variant>
      <vt:variant>
        <vt:i4>1441846</vt:i4>
      </vt:variant>
      <vt:variant>
        <vt:i4>479</vt:i4>
      </vt:variant>
      <vt:variant>
        <vt:i4>0</vt:i4>
      </vt:variant>
      <vt:variant>
        <vt:i4>5</vt:i4>
      </vt:variant>
      <vt:variant>
        <vt:lpwstr/>
      </vt:variant>
      <vt:variant>
        <vt:lpwstr>_Toc243037421</vt:lpwstr>
      </vt:variant>
      <vt:variant>
        <vt:i4>1441846</vt:i4>
      </vt:variant>
      <vt:variant>
        <vt:i4>473</vt:i4>
      </vt:variant>
      <vt:variant>
        <vt:i4>0</vt:i4>
      </vt:variant>
      <vt:variant>
        <vt:i4>5</vt:i4>
      </vt:variant>
      <vt:variant>
        <vt:lpwstr/>
      </vt:variant>
      <vt:variant>
        <vt:lpwstr>_Toc243037420</vt:lpwstr>
      </vt:variant>
      <vt:variant>
        <vt:i4>1376310</vt:i4>
      </vt:variant>
      <vt:variant>
        <vt:i4>467</vt:i4>
      </vt:variant>
      <vt:variant>
        <vt:i4>0</vt:i4>
      </vt:variant>
      <vt:variant>
        <vt:i4>5</vt:i4>
      </vt:variant>
      <vt:variant>
        <vt:lpwstr/>
      </vt:variant>
      <vt:variant>
        <vt:lpwstr>_Toc243037419</vt:lpwstr>
      </vt:variant>
      <vt:variant>
        <vt:i4>1376310</vt:i4>
      </vt:variant>
      <vt:variant>
        <vt:i4>461</vt:i4>
      </vt:variant>
      <vt:variant>
        <vt:i4>0</vt:i4>
      </vt:variant>
      <vt:variant>
        <vt:i4>5</vt:i4>
      </vt:variant>
      <vt:variant>
        <vt:lpwstr/>
      </vt:variant>
      <vt:variant>
        <vt:lpwstr>_Toc243037418</vt:lpwstr>
      </vt:variant>
      <vt:variant>
        <vt:i4>1376310</vt:i4>
      </vt:variant>
      <vt:variant>
        <vt:i4>455</vt:i4>
      </vt:variant>
      <vt:variant>
        <vt:i4>0</vt:i4>
      </vt:variant>
      <vt:variant>
        <vt:i4>5</vt:i4>
      </vt:variant>
      <vt:variant>
        <vt:lpwstr/>
      </vt:variant>
      <vt:variant>
        <vt:lpwstr>_Toc243037417</vt:lpwstr>
      </vt:variant>
      <vt:variant>
        <vt:i4>1376310</vt:i4>
      </vt:variant>
      <vt:variant>
        <vt:i4>449</vt:i4>
      </vt:variant>
      <vt:variant>
        <vt:i4>0</vt:i4>
      </vt:variant>
      <vt:variant>
        <vt:i4>5</vt:i4>
      </vt:variant>
      <vt:variant>
        <vt:lpwstr/>
      </vt:variant>
      <vt:variant>
        <vt:lpwstr>_Toc243037416</vt:lpwstr>
      </vt:variant>
      <vt:variant>
        <vt:i4>1376310</vt:i4>
      </vt:variant>
      <vt:variant>
        <vt:i4>443</vt:i4>
      </vt:variant>
      <vt:variant>
        <vt:i4>0</vt:i4>
      </vt:variant>
      <vt:variant>
        <vt:i4>5</vt:i4>
      </vt:variant>
      <vt:variant>
        <vt:lpwstr/>
      </vt:variant>
      <vt:variant>
        <vt:lpwstr>_Toc243037415</vt:lpwstr>
      </vt:variant>
      <vt:variant>
        <vt:i4>1376310</vt:i4>
      </vt:variant>
      <vt:variant>
        <vt:i4>437</vt:i4>
      </vt:variant>
      <vt:variant>
        <vt:i4>0</vt:i4>
      </vt:variant>
      <vt:variant>
        <vt:i4>5</vt:i4>
      </vt:variant>
      <vt:variant>
        <vt:lpwstr/>
      </vt:variant>
      <vt:variant>
        <vt:lpwstr>_Toc243037414</vt:lpwstr>
      </vt:variant>
      <vt:variant>
        <vt:i4>1376310</vt:i4>
      </vt:variant>
      <vt:variant>
        <vt:i4>428</vt:i4>
      </vt:variant>
      <vt:variant>
        <vt:i4>0</vt:i4>
      </vt:variant>
      <vt:variant>
        <vt:i4>5</vt:i4>
      </vt:variant>
      <vt:variant>
        <vt:lpwstr/>
      </vt:variant>
      <vt:variant>
        <vt:lpwstr>_Toc243037413</vt:lpwstr>
      </vt:variant>
      <vt:variant>
        <vt:i4>1376310</vt:i4>
      </vt:variant>
      <vt:variant>
        <vt:i4>422</vt:i4>
      </vt:variant>
      <vt:variant>
        <vt:i4>0</vt:i4>
      </vt:variant>
      <vt:variant>
        <vt:i4>5</vt:i4>
      </vt:variant>
      <vt:variant>
        <vt:lpwstr/>
      </vt:variant>
      <vt:variant>
        <vt:lpwstr>_Toc243037412</vt:lpwstr>
      </vt:variant>
      <vt:variant>
        <vt:i4>1376310</vt:i4>
      </vt:variant>
      <vt:variant>
        <vt:i4>416</vt:i4>
      </vt:variant>
      <vt:variant>
        <vt:i4>0</vt:i4>
      </vt:variant>
      <vt:variant>
        <vt:i4>5</vt:i4>
      </vt:variant>
      <vt:variant>
        <vt:lpwstr/>
      </vt:variant>
      <vt:variant>
        <vt:lpwstr>_Toc243037411</vt:lpwstr>
      </vt:variant>
      <vt:variant>
        <vt:i4>1376310</vt:i4>
      </vt:variant>
      <vt:variant>
        <vt:i4>410</vt:i4>
      </vt:variant>
      <vt:variant>
        <vt:i4>0</vt:i4>
      </vt:variant>
      <vt:variant>
        <vt:i4>5</vt:i4>
      </vt:variant>
      <vt:variant>
        <vt:lpwstr/>
      </vt:variant>
      <vt:variant>
        <vt:lpwstr>_Toc243037410</vt:lpwstr>
      </vt:variant>
      <vt:variant>
        <vt:i4>1310774</vt:i4>
      </vt:variant>
      <vt:variant>
        <vt:i4>404</vt:i4>
      </vt:variant>
      <vt:variant>
        <vt:i4>0</vt:i4>
      </vt:variant>
      <vt:variant>
        <vt:i4>5</vt:i4>
      </vt:variant>
      <vt:variant>
        <vt:lpwstr/>
      </vt:variant>
      <vt:variant>
        <vt:lpwstr>_Toc243037409</vt:lpwstr>
      </vt:variant>
      <vt:variant>
        <vt:i4>1310774</vt:i4>
      </vt:variant>
      <vt:variant>
        <vt:i4>398</vt:i4>
      </vt:variant>
      <vt:variant>
        <vt:i4>0</vt:i4>
      </vt:variant>
      <vt:variant>
        <vt:i4>5</vt:i4>
      </vt:variant>
      <vt:variant>
        <vt:lpwstr/>
      </vt:variant>
      <vt:variant>
        <vt:lpwstr>_Toc243037408</vt:lpwstr>
      </vt:variant>
      <vt:variant>
        <vt:i4>1310774</vt:i4>
      </vt:variant>
      <vt:variant>
        <vt:i4>392</vt:i4>
      </vt:variant>
      <vt:variant>
        <vt:i4>0</vt:i4>
      </vt:variant>
      <vt:variant>
        <vt:i4>5</vt:i4>
      </vt:variant>
      <vt:variant>
        <vt:lpwstr/>
      </vt:variant>
      <vt:variant>
        <vt:lpwstr>_Toc243037407</vt:lpwstr>
      </vt:variant>
      <vt:variant>
        <vt:i4>1310774</vt:i4>
      </vt:variant>
      <vt:variant>
        <vt:i4>386</vt:i4>
      </vt:variant>
      <vt:variant>
        <vt:i4>0</vt:i4>
      </vt:variant>
      <vt:variant>
        <vt:i4>5</vt:i4>
      </vt:variant>
      <vt:variant>
        <vt:lpwstr/>
      </vt:variant>
      <vt:variant>
        <vt:lpwstr>_Toc243037406</vt:lpwstr>
      </vt:variant>
      <vt:variant>
        <vt:i4>1310774</vt:i4>
      </vt:variant>
      <vt:variant>
        <vt:i4>380</vt:i4>
      </vt:variant>
      <vt:variant>
        <vt:i4>0</vt:i4>
      </vt:variant>
      <vt:variant>
        <vt:i4>5</vt:i4>
      </vt:variant>
      <vt:variant>
        <vt:lpwstr/>
      </vt:variant>
      <vt:variant>
        <vt:lpwstr>_Toc243037405</vt:lpwstr>
      </vt:variant>
      <vt:variant>
        <vt:i4>1310774</vt:i4>
      </vt:variant>
      <vt:variant>
        <vt:i4>374</vt:i4>
      </vt:variant>
      <vt:variant>
        <vt:i4>0</vt:i4>
      </vt:variant>
      <vt:variant>
        <vt:i4>5</vt:i4>
      </vt:variant>
      <vt:variant>
        <vt:lpwstr/>
      </vt:variant>
      <vt:variant>
        <vt:lpwstr>_Toc243037404</vt:lpwstr>
      </vt:variant>
      <vt:variant>
        <vt:i4>1310774</vt:i4>
      </vt:variant>
      <vt:variant>
        <vt:i4>368</vt:i4>
      </vt:variant>
      <vt:variant>
        <vt:i4>0</vt:i4>
      </vt:variant>
      <vt:variant>
        <vt:i4>5</vt:i4>
      </vt:variant>
      <vt:variant>
        <vt:lpwstr/>
      </vt:variant>
      <vt:variant>
        <vt:lpwstr>_Toc243037403</vt:lpwstr>
      </vt:variant>
      <vt:variant>
        <vt:i4>1310774</vt:i4>
      </vt:variant>
      <vt:variant>
        <vt:i4>362</vt:i4>
      </vt:variant>
      <vt:variant>
        <vt:i4>0</vt:i4>
      </vt:variant>
      <vt:variant>
        <vt:i4>5</vt:i4>
      </vt:variant>
      <vt:variant>
        <vt:lpwstr/>
      </vt:variant>
      <vt:variant>
        <vt:lpwstr>_Toc243037402</vt:lpwstr>
      </vt:variant>
      <vt:variant>
        <vt:i4>1310774</vt:i4>
      </vt:variant>
      <vt:variant>
        <vt:i4>356</vt:i4>
      </vt:variant>
      <vt:variant>
        <vt:i4>0</vt:i4>
      </vt:variant>
      <vt:variant>
        <vt:i4>5</vt:i4>
      </vt:variant>
      <vt:variant>
        <vt:lpwstr/>
      </vt:variant>
      <vt:variant>
        <vt:lpwstr>_Toc243037401</vt:lpwstr>
      </vt:variant>
      <vt:variant>
        <vt:i4>1310774</vt:i4>
      </vt:variant>
      <vt:variant>
        <vt:i4>350</vt:i4>
      </vt:variant>
      <vt:variant>
        <vt:i4>0</vt:i4>
      </vt:variant>
      <vt:variant>
        <vt:i4>5</vt:i4>
      </vt:variant>
      <vt:variant>
        <vt:lpwstr/>
      </vt:variant>
      <vt:variant>
        <vt:lpwstr>_Toc243037400</vt:lpwstr>
      </vt:variant>
      <vt:variant>
        <vt:i4>1900593</vt:i4>
      </vt:variant>
      <vt:variant>
        <vt:i4>344</vt:i4>
      </vt:variant>
      <vt:variant>
        <vt:i4>0</vt:i4>
      </vt:variant>
      <vt:variant>
        <vt:i4>5</vt:i4>
      </vt:variant>
      <vt:variant>
        <vt:lpwstr/>
      </vt:variant>
      <vt:variant>
        <vt:lpwstr>_Toc243037399</vt:lpwstr>
      </vt:variant>
      <vt:variant>
        <vt:i4>1900593</vt:i4>
      </vt:variant>
      <vt:variant>
        <vt:i4>338</vt:i4>
      </vt:variant>
      <vt:variant>
        <vt:i4>0</vt:i4>
      </vt:variant>
      <vt:variant>
        <vt:i4>5</vt:i4>
      </vt:variant>
      <vt:variant>
        <vt:lpwstr/>
      </vt:variant>
      <vt:variant>
        <vt:lpwstr>_Toc243037398</vt:lpwstr>
      </vt:variant>
      <vt:variant>
        <vt:i4>1900593</vt:i4>
      </vt:variant>
      <vt:variant>
        <vt:i4>332</vt:i4>
      </vt:variant>
      <vt:variant>
        <vt:i4>0</vt:i4>
      </vt:variant>
      <vt:variant>
        <vt:i4>5</vt:i4>
      </vt:variant>
      <vt:variant>
        <vt:lpwstr/>
      </vt:variant>
      <vt:variant>
        <vt:lpwstr>_Toc243037397</vt:lpwstr>
      </vt:variant>
      <vt:variant>
        <vt:i4>1900593</vt:i4>
      </vt:variant>
      <vt:variant>
        <vt:i4>326</vt:i4>
      </vt:variant>
      <vt:variant>
        <vt:i4>0</vt:i4>
      </vt:variant>
      <vt:variant>
        <vt:i4>5</vt:i4>
      </vt:variant>
      <vt:variant>
        <vt:lpwstr/>
      </vt:variant>
      <vt:variant>
        <vt:lpwstr>_Toc243037396</vt:lpwstr>
      </vt:variant>
      <vt:variant>
        <vt:i4>1900593</vt:i4>
      </vt:variant>
      <vt:variant>
        <vt:i4>320</vt:i4>
      </vt:variant>
      <vt:variant>
        <vt:i4>0</vt:i4>
      </vt:variant>
      <vt:variant>
        <vt:i4>5</vt:i4>
      </vt:variant>
      <vt:variant>
        <vt:lpwstr/>
      </vt:variant>
      <vt:variant>
        <vt:lpwstr>_Toc243037395</vt:lpwstr>
      </vt:variant>
      <vt:variant>
        <vt:i4>1900593</vt:i4>
      </vt:variant>
      <vt:variant>
        <vt:i4>314</vt:i4>
      </vt:variant>
      <vt:variant>
        <vt:i4>0</vt:i4>
      </vt:variant>
      <vt:variant>
        <vt:i4>5</vt:i4>
      </vt:variant>
      <vt:variant>
        <vt:lpwstr/>
      </vt:variant>
      <vt:variant>
        <vt:lpwstr>_Toc243037394</vt:lpwstr>
      </vt:variant>
      <vt:variant>
        <vt:i4>1900593</vt:i4>
      </vt:variant>
      <vt:variant>
        <vt:i4>308</vt:i4>
      </vt:variant>
      <vt:variant>
        <vt:i4>0</vt:i4>
      </vt:variant>
      <vt:variant>
        <vt:i4>5</vt:i4>
      </vt:variant>
      <vt:variant>
        <vt:lpwstr/>
      </vt:variant>
      <vt:variant>
        <vt:lpwstr>_Toc243037393</vt:lpwstr>
      </vt:variant>
      <vt:variant>
        <vt:i4>1900593</vt:i4>
      </vt:variant>
      <vt:variant>
        <vt:i4>302</vt:i4>
      </vt:variant>
      <vt:variant>
        <vt:i4>0</vt:i4>
      </vt:variant>
      <vt:variant>
        <vt:i4>5</vt:i4>
      </vt:variant>
      <vt:variant>
        <vt:lpwstr/>
      </vt:variant>
      <vt:variant>
        <vt:lpwstr>_Toc243037392</vt:lpwstr>
      </vt:variant>
      <vt:variant>
        <vt:i4>1900593</vt:i4>
      </vt:variant>
      <vt:variant>
        <vt:i4>296</vt:i4>
      </vt:variant>
      <vt:variant>
        <vt:i4>0</vt:i4>
      </vt:variant>
      <vt:variant>
        <vt:i4>5</vt:i4>
      </vt:variant>
      <vt:variant>
        <vt:lpwstr/>
      </vt:variant>
      <vt:variant>
        <vt:lpwstr>_Toc243037391</vt:lpwstr>
      </vt:variant>
      <vt:variant>
        <vt:i4>1900593</vt:i4>
      </vt:variant>
      <vt:variant>
        <vt:i4>290</vt:i4>
      </vt:variant>
      <vt:variant>
        <vt:i4>0</vt:i4>
      </vt:variant>
      <vt:variant>
        <vt:i4>5</vt:i4>
      </vt:variant>
      <vt:variant>
        <vt:lpwstr/>
      </vt:variant>
      <vt:variant>
        <vt:lpwstr>_Toc243037390</vt:lpwstr>
      </vt:variant>
      <vt:variant>
        <vt:i4>1835057</vt:i4>
      </vt:variant>
      <vt:variant>
        <vt:i4>284</vt:i4>
      </vt:variant>
      <vt:variant>
        <vt:i4>0</vt:i4>
      </vt:variant>
      <vt:variant>
        <vt:i4>5</vt:i4>
      </vt:variant>
      <vt:variant>
        <vt:lpwstr/>
      </vt:variant>
      <vt:variant>
        <vt:lpwstr>_Toc243037389</vt:lpwstr>
      </vt:variant>
      <vt:variant>
        <vt:i4>1835057</vt:i4>
      </vt:variant>
      <vt:variant>
        <vt:i4>278</vt:i4>
      </vt:variant>
      <vt:variant>
        <vt:i4>0</vt:i4>
      </vt:variant>
      <vt:variant>
        <vt:i4>5</vt:i4>
      </vt:variant>
      <vt:variant>
        <vt:lpwstr/>
      </vt:variant>
      <vt:variant>
        <vt:lpwstr>_Toc243037388</vt:lpwstr>
      </vt:variant>
      <vt:variant>
        <vt:i4>1835057</vt:i4>
      </vt:variant>
      <vt:variant>
        <vt:i4>272</vt:i4>
      </vt:variant>
      <vt:variant>
        <vt:i4>0</vt:i4>
      </vt:variant>
      <vt:variant>
        <vt:i4>5</vt:i4>
      </vt:variant>
      <vt:variant>
        <vt:lpwstr/>
      </vt:variant>
      <vt:variant>
        <vt:lpwstr>_Toc243037387</vt:lpwstr>
      </vt:variant>
      <vt:variant>
        <vt:i4>1835057</vt:i4>
      </vt:variant>
      <vt:variant>
        <vt:i4>266</vt:i4>
      </vt:variant>
      <vt:variant>
        <vt:i4>0</vt:i4>
      </vt:variant>
      <vt:variant>
        <vt:i4>5</vt:i4>
      </vt:variant>
      <vt:variant>
        <vt:lpwstr/>
      </vt:variant>
      <vt:variant>
        <vt:lpwstr>_Toc243037386</vt:lpwstr>
      </vt:variant>
      <vt:variant>
        <vt:i4>1835057</vt:i4>
      </vt:variant>
      <vt:variant>
        <vt:i4>260</vt:i4>
      </vt:variant>
      <vt:variant>
        <vt:i4>0</vt:i4>
      </vt:variant>
      <vt:variant>
        <vt:i4>5</vt:i4>
      </vt:variant>
      <vt:variant>
        <vt:lpwstr/>
      </vt:variant>
      <vt:variant>
        <vt:lpwstr>_Toc243037385</vt:lpwstr>
      </vt:variant>
      <vt:variant>
        <vt:i4>1835057</vt:i4>
      </vt:variant>
      <vt:variant>
        <vt:i4>254</vt:i4>
      </vt:variant>
      <vt:variant>
        <vt:i4>0</vt:i4>
      </vt:variant>
      <vt:variant>
        <vt:i4>5</vt:i4>
      </vt:variant>
      <vt:variant>
        <vt:lpwstr/>
      </vt:variant>
      <vt:variant>
        <vt:lpwstr>_Toc243037384</vt:lpwstr>
      </vt:variant>
      <vt:variant>
        <vt:i4>1835057</vt:i4>
      </vt:variant>
      <vt:variant>
        <vt:i4>248</vt:i4>
      </vt:variant>
      <vt:variant>
        <vt:i4>0</vt:i4>
      </vt:variant>
      <vt:variant>
        <vt:i4>5</vt:i4>
      </vt:variant>
      <vt:variant>
        <vt:lpwstr/>
      </vt:variant>
      <vt:variant>
        <vt:lpwstr>_Toc243037383</vt:lpwstr>
      </vt:variant>
      <vt:variant>
        <vt:i4>1835057</vt:i4>
      </vt:variant>
      <vt:variant>
        <vt:i4>242</vt:i4>
      </vt:variant>
      <vt:variant>
        <vt:i4>0</vt:i4>
      </vt:variant>
      <vt:variant>
        <vt:i4>5</vt:i4>
      </vt:variant>
      <vt:variant>
        <vt:lpwstr/>
      </vt:variant>
      <vt:variant>
        <vt:lpwstr>_Toc243037382</vt:lpwstr>
      </vt:variant>
      <vt:variant>
        <vt:i4>1835057</vt:i4>
      </vt:variant>
      <vt:variant>
        <vt:i4>236</vt:i4>
      </vt:variant>
      <vt:variant>
        <vt:i4>0</vt:i4>
      </vt:variant>
      <vt:variant>
        <vt:i4>5</vt:i4>
      </vt:variant>
      <vt:variant>
        <vt:lpwstr/>
      </vt:variant>
      <vt:variant>
        <vt:lpwstr>_Toc243037381</vt:lpwstr>
      </vt:variant>
      <vt:variant>
        <vt:i4>1835057</vt:i4>
      </vt:variant>
      <vt:variant>
        <vt:i4>230</vt:i4>
      </vt:variant>
      <vt:variant>
        <vt:i4>0</vt:i4>
      </vt:variant>
      <vt:variant>
        <vt:i4>5</vt:i4>
      </vt:variant>
      <vt:variant>
        <vt:lpwstr/>
      </vt:variant>
      <vt:variant>
        <vt:lpwstr>_Toc243037380</vt:lpwstr>
      </vt:variant>
      <vt:variant>
        <vt:i4>1245233</vt:i4>
      </vt:variant>
      <vt:variant>
        <vt:i4>224</vt:i4>
      </vt:variant>
      <vt:variant>
        <vt:i4>0</vt:i4>
      </vt:variant>
      <vt:variant>
        <vt:i4>5</vt:i4>
      </vt:variant>
      <vt:variant>
        <vt:lpwstr/>
      </vt:variant>
      <vt:variant>
        <vt:lpwstr>_Toc243037379</vt:lpwstr>
      </vt:variant>
      <vt:variant>
        <vt:i4>1245233</vt:i4>
      </vt:variant>
      <vt:variant>
        <vt:i4>218</vt:i4>
      </vt:variant>
      <vt:variant>
        <vt:i4>0</vt:i4>
      </vt:variant>
      <vt:variant>
        <vt:i4>5</vt:i4>
      </vt:variant>
      <vt:variant>
        <vt:lpwstr/>
      </vt:variant>
      <vt:variant>
        <vt:lpwstr>_Toc243037378</vt:lpwstr>
      </vt:variant>
      <vt:variant>
        <vt:i4>1245233</vt:i4>
      </vt:variant>
      <vt:variant>
        <vt:i4>212</vt:i4>
      </vt:variant>
      <vt:variant>
        <vt:i4>0</vt:i4>
      </vt:variant>
      <vt:variant>
        <vt:i4>5</vt:i4>
      </vt:variant>
      <vt:variant>
        <vt:lpwstr/>
      </vt:variant>
      <vt:variant>
        <vt:lpwstr>_Toc243037377</vt:lpwstr>
      </vt:variant>
      <vt:variant>
        <vt:i4>1245233</vt:i4>
      </vt:variant>
      <vt:variant>
        <vt:i4>206</vt:i4>
      </vt:variant>
      <vt:variant>
        <vt:i4>0</vt:i4>
      </vt:variant>
      <vt:variant>
        <vt:i4>5</vt:i4>
      </vt:variant>
      <vt:variant>
        <vt:lpwstr/>
      </vt:variant>
      <vt:variant>
        <vt:lpwstr>_Toc243037376</vt:lpwstr>
      </vt:variant>
      <vt:variant>
        <vt:i4>1245233</vt:i4>
      </vt:variant>
      <vt:variant>
        <vt:i4>200</vt:i4>
      </vt:variant>
      <vt:variant>
        <vt:i4>0</vt:i4>
      </vt:variant>
      <vt:variant>
        <vt:i4>5</vt:i4>
      </vt:variant>
      <vt:variant>
        <vt:lpwstr/>
      </vt:variant>
      <vt:variant>
        <vt:lpwstr>_Toc243037375</vt:lpwstr>
      </vt:variant>
      <vt:variant>
        <vt:i4>1245233</vt:i4>
      </vt:variant>
      <vt:variant>
        <vt:i4>194</vt:i4>
      </vt:variant>
      <vt:variant>
        <vt:i4>0</vt:i4>
      </vt:variant>
      <vt:variant>
        <vt:i4>5</vt:i4>
      </vt:variant>
      <vt:variant>
        <vt:lpwstr/>
      </vt:variant>
      <vt:variant>
        <vt:lpwstr>_Toc243037374</vt:lpwstr>
      </vt:variant>
      <vt:variant>
        <vt:i4>1245233</vt:i4>
      </vt:variant>
      <vt:variant>
        <vt:i4>188</vt:i4>
      </vt:variant>
      <vt:variant>
        <vt:i4>0</vt:i4>
      </vt:variant>
      <vt:variant>
        <vt:i4>5</vt:i4>
      </vt:variant>
      <vt:variant>
        <vt:lpwstr/>
      </vt:variant>
      <vt:variant>
        <vt:lpwstr>_Toc243037373</vt:lpwstr>
      </vt:variant>
      <vt:variant>
        <vt:i4>1245233</vt:i4>
      </vt:variant>
      <vt:variant>
        <vt:i4>182</vt:i4>
      </vt:variant>
      <vt:variant>
        <vt:i4>0</vt:i4>
      </vt:variant>
      <vt:variant>
        <vt:i4>5</vt:i4>
      </vt:variant>
      <vt:variant>
        <vt:lpwstr/>
      </vt:variant>
      <vt:variant>
        <vt:lpwstr>_Toc243037372</vt:lpwstr>
      </vt:variant>
      <vt:variant>
        <vt:i4>1245233</vt:i4>
      </vt:variant>
      <vt:variant>
        <vt:i4>176</vt:i4>
      </vt:variant>
      <vt:variant>
        <vt:i4>0</vt:i4>
      </vt:variant>
      <vt:variant>
        <vt:i4>5</vt:i4>
      </vt:variant>
      <vt:variant>
        <vt:lpwstr/>
      </vt:variant>
      <vt:variant>
        <vt:lpwstr>_Toc243037371</vt:lpwstr>
      </vt:variant>
      <vt:variant>
        <vt:i4>1245233</vt:i4>
      </vt:variant>
      <vt:variant>
        <vt:i4>170</vt:i4>
      </vt:variant>
      <vt:variant>
        <vt:i4>0</vt:i4>
      </vt:variant>
      <vt:variant>
        <vt:i4>5</vt:i4>
      </vt:variant>
      <vt:variant>
        <vt:lpwstr/>
      </vt:variant>
      <vt:variant>
        <vt:lpwstr>_Toc243037370</vt:lpwstr>
      </vt:variant>
      <vt:variant>
        <vt:i4>1179697</vt:i4>
      </vt:variant>
      <vt:variant>
        <vt:i4>164</vt:i4>
      </vt:variant>
      <vt:variant>
        <vt:i4>0</vt:i4>
      </vt:variant>
      <vt:variant>
        <vt:i4>5</vt:i4>
      </vt:variant>
      <vt:variant>
        <vt:lpwstr/>
      </vt:variant>
      <vt:variant>
        <vt:lpwstr>_Toc243037369</vt:lpwstr>
      </vt:variant>
      <vt:variant>
        <vt:i4>1179697</vt:i4>
      </vt:variant>
      <vt:variant>
        <vt:i4>158</vt:i4>
      </vt:variant>
      <vt:variant>
        <vt:i4>0</vt:i4>
      </vt:variant>
      <vt:variant>
        <vt:i4>5</vt:i4>
      </vt:variant>
      <vt:variant>
        <vt:lpwstr/>
      </vt:variant>
      <vt:variant>
        <vt:lpwstr>_Toc243037368</vt:lpwstr>
      </vt:variant>
      <vt:variant>
        <vt:i4>1179697</vt:i4>
      </vt:variant>
      <vt:variant>
        <vt:i4>152</vt:i4>
      </vt:variant>
      <vt:variant>
        <vt:i4>0</vt:i4>
      </vt:variant>
      <vt:variant>
        <vt:i4>5</vt:i4>
      </vt:variant>
      <vt:variant>
        <vt:lpwstr/>
      </vt:variant>
      <vt:variant>
        <vt:lpwstr>_Toc243037367</vt:lpwstr>
      </vt:variant>
      <vt:variant>
        <vt:i4>1179697</vt:i4>
      </vt:variant>
      <vt:variant>
        <vt:i4>146</vt:i4>
      </vt:variant>
      <vt:variant>
        <vt:i4>0</vt:i4>
      </vt:variant>
      <vt:variant>
        <vt:i4>5</vt:i4>
      </vt:variant>
      <vt:variant>
        <vt:lpwstr/>
      </vt:variant>
      <vt:variant>
        <vt:lpwstr>_Toc243037366</vt:lpwstr>
      </vt:variant>
      <vt:variant>
        <vt:i4>1179697</vt:i4>
      </vt:variant>
      <vt:variant>
        <vt:i4>140</vt:i4>
      </vt:variant>
      <vt:variant>
        <vt:i4>0</vt:i4>
      </vt:variant>
      <vt:variant>
        <vt:i4>5</vt:i4>
      </vt:variant>
      <vt:variant>
        <vt:lpwstr/>
      </vt:variant>
      <vt:variant>
        <vt:lpwstr>_Toc243037365</vt:lpwstr>
      </vt:variant>
      <vt:variant>
        <vt:i4>1179697</vt:i4>
      </vt:variant>
      <vt:variant>
        <vt:i4>134</vt:i4>
      </vt:variant>
      <vt:variant>
        <vt:i4>0</vt:i4>
      </vt:variant>
      <vt:variant>
        <vt:i4>5</vt:i4>
      </vt:variant>
      <vt:variant>
        <vt:lpwstr/>
      </vt:variant>
      <vt:variant>
        <vt:lpwstr>_Toc243037364</vt:lpwstr>
      </vt:variant>
      <vt:variant>
        <vt:i4>1179697</vt:i4>
      </vt:variant>
      <vt:variant>
        <vt:i4>128</vt:i4>
      </vt:variant>
      <vt:variant>
        <vt:i4>0</vt:i4>
      </vt:variant>
      <vt:variant>
        <vt:i4>5</vt:i4>
      </vt:variant>
      <vt:variant>
        <vt:lpwstr/>
      </vt:variant>
      <vt:variant>
        <vt:lpwstr>_Toc243037363</vt:lpwstr>
      </vt:variant>
      <vt:variant>
        <vt:i4>1179697</vt:i4>
      </vt:variant>
      <vt:variant>
        <vt:i4>122</vt:i4>
      </vt:variant>
      <vt:variant>
        <vt:i4>0</vt:i4>
      </vt:variant>
      <vt:variant>
        <vt:i4>5</vt:i4>
      </vt:variant>
      <vt:variant>
        <vt:lpwstr/>
      </vt:variant>
      <vt:variant>
        <vt:lpwstr>_Toc243037362</vt:lpwstr>
      </vt:variant>
      <vt:variant>
        <vt:i4>1179697</vt:i4>
      </vt:variant>
      <vt:variant>
        <vt:i4>116</vt:i4>
      </vt:variant>
      <vt:variant>
        <vt:i4>0</vt:i4>
      </vt:variant>
      <vt:variant>
        <vt:i4>5</vt:i4>
      </vt:variant>
      <vt:variant>
        <vt:lpwstr/>
      </vt:variant>
      <vt:variant>
        <vt:lpwstr>_Toc243037361</vt:lpwstr>
      </vt:variant>
      <vt:variant>
        <vt:i4>1179697</vt:i4>
      </vt:variant>
      <vt:variant>
        <vt:i4>110</vt:i4>
      </vt:variant>
      <vt:variant>
        <vt:i4>0</vt:i4>
      </vt:variant>
      <vt:variant>
        <vt:i4>5</vt:i4>
      </vt:variant>
      <vt:variant>
        <vt:lpwstr/>
      </vt:variant>
      <vt:variant>
        <vt:lpwstr>_Toc243037360</vt:lpwstr>
      </vt:variant>
      <vt:variant>
        <vt:i4>1114161</vt:i4>
      </vt:variant>
      <vt:variant>
        <vt:i4>104</vt:i4>
      </vt:variant>
      <vt:variant>
        <vt:i4>0</vt:i4>
      </vt:variant>
      <vt:variant>
        <vt:i4>5</vt:i4>
      </vt:variant>
      <vt:variant>
        <vt:lpwstr/>
      </vt:variant>
      <vt:variant>
        <vt:lpwstr>_Toc243037359</vt:lpwstr>
      </vt:variant>
      <vt:variant>
        <vt:i4>1114161</vt:i4>
      </vt:variant>
      <vt:variant>
        <vt:i4>98</vt:i4>
      </vt:variant>
      <vt:variant>
        <vt:i4>0</vt:i4>
      </vt:variant>
      <vt:variant>
        <vt:i4>5</vt:i4>
      </vt:variant>
      <vt:variant>
        <vt:lpwstr/>
      </vt:variant>
      <vt:variant>
        <vt:lpwstr>_Toc243037358</vt:lpwstr>
      </vt:variant>
      <vt:variant>
        <vt:i4>1114161</vt:i4>
      </vt:variant>
      <vt:variant>
        <vt:i4>92</vt:i4>
      </vt:variant>
      <vt:variant>
        <vt:i4>0</vt:i4>
      </vt:variant>
      <vt:variant>
        <vt:i4>5</vt:i4>
      </vt:variant>
      <vt:variant>
        <vt:lpwstr/>
      </vt:variant>
      <vt:variant>
        <vt:lpwstr>_Toc243037357</vt:lpwstr>
      </vt:variant>
      <vt:variant>
        <vt:i4>1114161</vt:i4>
      </vt:variant>
      <vt:variant>
        <vt:i4>86</vt:i4>
      </vt:variant>
      <vt:variant>
        <vt:i4>0</vt:i4>
      </vt:variant>
      <vt:variant>
        <vt:i4>5</vt:i4>
      </vt:variant>
      <vt:variant>
        <vt:lpwstr/>
      </vt:variant>
      <vt:variant>
        <vt:lpwstr>_Toc243037356</vt:lpwstr>
      </vt:variant>
      <vt:variant>
        <vt:i4>1114161</vt:i4>
      </vt:variant>
      <vt:variant>
        <vt:i4>80</vt:i4>
      </vt:variant>
      <vt:variant>
        <vt:i4>0</vt:i4>
      </vt:variant>
      <vt:variant>
        <vt:i4>5</vt:i4>
      </vt:variant>
      <vt:variant>
        <vt:lpwstr/>
      </vt:variant>
      <vt:variant>
        <vt:lpwstr>_Toc243037355</vt:lpwstr>
      </vt:variant>
      <vt:variant>
        <vt:i4>1114161</vt:i4>
      </vt:variant>
      <vt:variant>
        <vt:i4>74</vt:i4>
      </vt:variant>
      <vt:variant>
        <vt:i4>0</vt:i4>
      </vt:variant>
      <vt:variant>
        <vt:i4>5</vt:i4>
      </vt:variant>
      <vt:variant>
        <vt:lpwstr/>
      </vt:variant>
      <vt:variant>
        <vt:lpwstr>_Toc243037354</vt:lpwstr>
      </vt:variant>
      <vt:variant>
        <vt:i4>1114161</vt:i4>
      </vt:variant>
      <vt:variant>
        <vt:i4>68</vt:i4>
      </vt:variant>
      <vt:variant>
        <vt:i4>0</vt:i4>
      </vt:variant>
      <vt:variant>
        <vt:i4>5</vt:i4>
      </vt:variant>
      <vt:variant>
        <vt:lpwstr/>
      </vt:variant>
      <vt:variant>
        <vt:lpwstr>_Toc243037353</vt:lpwstr>
      </vt:variant>
      <vt:variant>
        <vt:i4>1114161</vt:i4>
      </vt:variant>
      <vt:variant>
        <vt:i4>62</vt:i4>
      </vt:variant>
      <vt:variant>
        <vt:i4>0</vt:i4>
      </vt:variant>
      <vt:variant>
        <vt:i4>5</vt:i4>
      </vt:variant>
      <vt:variant>
        <vt:lpwstr/>
      </vt:variant>
      <vt:variant>
        <vt:lpwstr>_Toc243037352</vt:lpwstr>
      </vt:variant>
      <vt:variant>
        <vt:i4>1114161</vt:i4>
      </vt:variant>
      <vt:variant>
        <vt:i4>56</vt:i4>
      </vt:variant>
      <vt:variant>
        <vt:i4>0</vt:i4>
      </vt:variant>
      <vt:variant>
        <vt:i4>5</vt:i4>
      </vt:variant>
      <vt:variant>
        <vt:lpwstr/>
      </vt:variant>
      <vt:variant>
        <vt:lpwstr>_Toc243037351</vt:lpwstr>
      </vt:variant>
      <vt:variant>
        <vt:i4>1114161</vt:i4>
      </vt:variant>
      <vt:variant>
        <vt:i4>50</vt:i4>
      </vt:variant>
      <vt:variant>
        <vt:i4>0</vt:i4>
      </vt:variant>
      <vt:variant>
        <vt:i4>5</vt:i4>
      </vt:variant>
      <vt:variant>
        <vt:lpwstr/>
      </vt:variant>
      <vt:variant>
        <vt:lpwstr>_Toc243037350</vt:lpwstr>
      </vt:variant>
      <vt:variant>
        <vt:i4>1048625</vt:i4>
      </vt:variant>
      <vt:variant>
        <vt:i4>44</vt:i4>
      </vt:variant>
      <vt:variant>
        <vt:i4>0</vt:i4>
      </vt:variant>
      <vt:variant>
        <vt:i4>5</vt:i4>
      </vt:variant>
      <vt:variant>
        <vt:lpwstr/>
      </vt:variant>
      <vt:variant>
        <vt:lpwstr>_Toc243037349</vt:lpwstr>
      </vt:variant>
      <vt:variant>
        <vt:i4>1048625</vt:i4>
      </vt:variant>
      <vt:variant>
        <vt:i4>38</vt:i4>
      </vt:variant>
      <vt:variant>
        <vt:i4>0</vt:i4>
      </vt:variant>
      <vt:variant>
        <vt:i4>5</vt:i4>
      </vt:variant>
      <vt:variant>
        <vt:lpwstr/>
      </vt:variant>
      <vt:variant>
        <vt:lpwstr>_Toc243037348</vt:lpwstr>
      </vt:variant>
      <vt:variant>
        <vt:i4>1048625</vt:i4>
      </vt:variant>
      <vt:variant>
        <vt:i4>32</vt:i4>
      </vt:variant>
      <vt:variant>
        <vt:i4>0</vt:i4>
      </vt:variant>
      <vt:variant>
        <vt:i4>5</vt:i4>
      </vt:variant>
      <vt:variant>
        <vt:lpwstr/>
      </vt:variant>
      <vt:variant>
        <vt:lpwstr>_Toc243037347</vt:lpwstr>
      </vt:variant>
      <vt:variant>
        <vt:i4>1048625</vt:i4>
      </vt:variant>
      <vt:variant>
        <vt:i4>26</vt:i4>
      </vt:variant>
      <vt:variant>
        <vt:i4>0</vt:i4>
      </vt:variant>
      <vt:variant>
        <vt:i4>5</vt:i4>
      </vt:variant>
      <vt:variant>
        <vt:lpwstr/>
      </vt:variant>
      <vt:variant>
        <vt:lpwstr>_Toc243037346</vt:lpwstr>
      </vt:variant>
      <vt:variant>
        <vt:i4>1048625</vt:i4>
      </vt:variant>
      <vt:variant>
        <vt:i4>20</vt:i4>
      </vt:variant>
      <vt:variant>
        <vt:i4>0</vt:i4>
      </vt:variant>
      <vt:variant>
        <vt:i4>5</vt:i4>
      </vt:variant>
      <vt:variant>
        <vt:lpwstr/>
      </vt:variant>
      <vt:variant>
        <vt:lpwstr>_Toc243037345</vt:lpwstr>
      </vt:variant>
      <vt:variant>
        <vt:i4>1048625</vt:i4>
      </vt:variant>
      <vt:variant>
        <vt:i4>14</vt:i4>
      </vt:variant>
      <vt:variant>
        <vt:i4>0</vt:i4>
      </vt:variant>
      <vt:variant>
        <vt:i4>5</vt:i4>
      </vt:variant>
      <vt:variant>
        <vt:lpwstr/>
      </vt:variant>
      <vt:variant>
        <vt:lpwstr>_Toc243037344</vt:lpwstr>
      </vt:variant>
      <vt:variant>
        <vt:i4>1048625</vt:i4>
      </vt:variant>
      <vt:variant>
        <vt:i4>8</vt:i4>
      </vt:variant>
      <vt:variant>
        <vt:i4>0</vt:i4>
      </vt:variant>
      <vt:variant>
        <vt:i4>5</vt:i4>
      </vt:variant>
      <vt:variant>
        <vt:lpwstr/>
      </vt:variant>
      <vt:variant>
        <vt:lpwstr>_Toc243037343</vt:lpwstr>
      </vt:variant>
      <vt:variant>
        <vt:i4>1048625</vt:i4>
      </vt:variant>
      <vt:variant>
        <vt:i4>2</vt:i4>
      </vt:variant>
      <vt:variant>
        <vt:i4>0</vt:i4>
      </vt:variant>
      <vt:variant>
        <vt:i4>5</vt:i4>
      </vt:variant>
      <vt:variant>
        <vt:lpwstr/>
      </vt:variant>
      <vt:variant>
        <vt:lpwstr>_Toc243037342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Site and Soil Properties</dc:title>
  <dc:creator>Ted McCormack</dc:creator>
  <cp:keywords>test soil layer belfast mccabe</cp:keywords>
  <cp:lastModifiedBy>Ted McCormack</cp:lastModifiedBy>
  <cp:revision>2</cp:revision>
  <cp:lastPrinted>2014-11-06T18:15:00Z</cp:lastPrinted>
  <dcterms:created xsi:type="dcterms:W3CDTF">2015-04-02T10:51:00Z</dcterms:created>
  <dcterms:modified xsi:type="dcterms:W3CDTF">2015-04-02T10:51:00Z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Name 0_1">
    <vt:lpwstr>American Medical Association</vt:lpwstr>
  </property>
  <property fmtid="{D5CDD505-2E9C-101B-9397-08002B2CF9AE}" pid="3" name="Mendeley Recent Style Id 0_1">
    <vt:lpwstr>http://www.zotero.org/styles/ama</vt:lpwstr>
  </property>
  <property fmtid="{D5CDD505-2E9C-101B-9397-08002B2CF9AE}" pid="4" name="Mendeley Recent Style Name 1_1">
    <vt:lpwstr>American Political Science Association</vt:lpwstr>
  </property>
  <property fmtid="{D5CDD505-2E9C-101B-9397-08002B2CF9AE}" pid="5" name="Mendeley Recent Style Id 1_1">
    <vt:lpwstr>http://www.zotero.org/styles/apsa</vt:lpwstr>
  </property>
  <property fmtid="{D5CDD505-2E9C-101B-9397-08002B2CF9AE}" pid="6" name="Mendeley Recent Style Name 2_1">
    <vt:lpwstr>American Psychological Association 6th Edition</vt:lpwstr>
  </property>
  <property fmtid="{D5CDD505-2E9C-101B-9397-08002B2CF9AE}" pid="7" name="Mendeley Recent Style Id 2_1">
    <vt:lpwstr>http://www.zotero.org/styles/apa</vt:lpwstr>
  </property>
  <property fmtid="{D5CDD505-2E9C-101B-9397-08002B2CF9AE}" pid="8" name="Mendeley Recent Style Name 3_1">
    <vt:lpwstr>American Sociological Association</vt:lpwstr>
  </property>
  <property fmtid="{D5CDD505-2E9C-101B-9397-08002B2CF9AE}" pid="9" name="Mendeley Recent Style Id 3_1">
    <vt:lpwstr>http://www.zotero.org/styles/asa</vt:lpwstr>
  </property>
  <property fmtid="{D5CDD505-2E9C-101B-9397-08002B2CF9AE}" pid="10" name="Mendeley Recent Style Name 4_1">
    <vt:lpwstr>Chicago Manual of Style (Author-Date format)</vt:lpwstr>
  </property>
  <property fmtid="{D5CDD505-2E9C-101B-9397-08002B2CF9AE}" pid="11" name="Mendeley Recent Style Id 4_1">
    <vt:lpwstr>http://www.zotero.org/styles/chicago-author-date</vt:lpwstr>
  </property>
  <property fmtid="{D5CDD505-2E9C-101B-9397-08002B2CF9AE}" pid="12" name="Mendeley Recent Style Name 5_1">
    <vt:lpwstr>Harvard Reference format 1 (Author-Date)</vt:lpwstr>
  </property>
  <property fmtid="{D5CDD505-2E9C-101B-9397-08002B2CF9AE}" pid="13" name="Mendeley Recent Style Id 5_1">
    <vt:lpwstr>http://www.zotero.org/styles/harvard1</vt:lpwstr>
  </property>
  <property fmtid="{D5CDD505-2E9C-101B-9397-08002B2CF9AE}" pid="14" name="Mendeley Recent Style Name 6_1">
    <vt:lpwstr>IEEE</vt:lpwstr>
  </property>
  <property fmtid="{D5CDD505-2E9C-101B-9397-08002B2CF9AE}" pid="15" name="Mendeley Recent Style Id 6_1">
    <vt:lpwstr>http://www.zotero.org/styles/ieee</vt:lpwstr>
  </property>
  <property fmtid="{D5CDD505-2E9C-101B-9397-08002B2CF9AE}" pid="16" name="Mendeley Recent Style Name 7_1">
    <vt:lpwstr>Modern Humanities Research Association (Note with Bibliography)</vt:lpwstr>
  </property>
  <property fmtid="{D5CDD505-2E9C-101B-9397-08002B2CF9AE}" pid="17" name="Mendeley Recent Style Id 7_1">
    <vt:lpwstr>http://www.zotero.org/styles/mhra</vt:lpwstr>
  </property>
  <property fmtid="{D5CDD505-2E9C-101B-9397-08002B2CF9AE}" pid="18" name="Mendeley Recent Style Name 8_1">
    <vt:lpwstr>Modern Language Association</vt:lpwstr>
  </property>
  <property fmtid="{D5CDD505-2E9C-101B-9397-08002B2CF9AE}" pid="19" name="Mendeley Recent Style Id 8_1">
    <vt:lpwstr>http://www.zotero.org/styles/mla</vt:lpwstr>
  </property>
  <property fmtid="{D5CDD505-2E9C-101B-9397-08002B2CF9AE}" pid="20" name="Mendeley Recent Style Name 9_1">
    <vt:lpwstr>Nature Journal</vt:lpwstr>
  </property>
  <property fmtid="{D5CDD505-2E9C-101B-9397-08002B2CF9AE}" pid="21" name="Mendeley Recent Style Id 9_1">
    <vt:lpwstr>http://www.zotero.org/styles/nature</vt:lpwstr>
  </property>
  <property fmtid="{D5CDD505-2E9C-101B-9397-08002B2CF9AE}" pid="22" name="Mendeley Document_1">
    <vt:lpwstr>True</vt:lpwstr>
  </property>
  <property fmtid="{D5CDD505-2E9C-101B-9397-08002B2CF9AE}" pid="23" name="Mendeley User Name_1">
    <vt:lpwstr>tedmccormack@gmail.com@www.mendeley.com</vt:lpwstr>
  </property>
  <property fmtid="{D5CDD505-2E9C-101B-9397-08002B2CF9AE}" pid="24" name="Mendeley Citation Style_1">
    <vt:lpwstr>http://www.zotero.org/styles/apa</vt:lpwstr>
  </property>
</Properties>
</file>